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pBdr>
          <w:bottom w:color="4f81bd" w:space="4" w:sz="8" w:val="single"/>
        </w:pBdr>
        <w:contextualSpacing w:val="0"/>
        <w:jc w:val="center"/>
        <w:rPr>
          <w:rFonts w:ascii="Cambria" w:cs="Cambria" w:eastAsia="Cambria" w:hAnsi="Cambria"/>
          <w:color w:val="17365d"/>
          <w:sz w:val="52"/>
          <w:szCs w:val="52"/>
        </w:rPr>
      </w:pPr>
      <w:bookmarkStart w:colFirst="0" w:colLast="0" w:name="_gjdgxs" w:id="0"/>
      <w:bookmarkEnd w:id="0"/>
      <w:r w:rsidDel="00000000" w:rsidR="00000000" w:rsidRPr="00000000">
        <w:rPr>
          <w:rFonts w:ascii="Cambria" w:cs="Cambria" w:eastAsia="Cambria" w:hAnsi="Cambria"/>
          <w:color w:val="17365d"/>
          <w:sz w:val="52"/>
          <w:szCs w:val="52"/>
          <w:rtl w:val="0"/>
        </w:rPr>
        <w:t xml:space="preserve">Relatório de Retirada de Resíduos Químicos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1">
      <w:pPr>
        <w:pBdr>
          <w:bottom w:color="4f81bd" w:space="4" w:sz="8" w:val="single"/>
        </w:pBdr>
        <w:contextualSpacing w:val="0"/>
        <w:jc w:val="center"/>
        <w:rPr>
          <w:rFonts w:ascii="Cambria" w:cs="Cambria" w:eastAsia="Cambria" w:hAnsi="Cambria"/>
          <w:color w:val="17365d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b w:val="1"/>
          <w:color w:val="17365d"/>
          <w:sz w:val="36"/>
          <w:szCs w:val="36"/>
          <w:rtl w:val="0"/>
        </w:rPr>
        <w:t xml:space="preserve">Prédio da Engenharia Elétrica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1"/>
        <w:keepLines w:val="1"/>
        <w:spacing w:after="240" w:before="240" w:lineRule="auto"/>
        <w:ind w:left="432" w:hanging="432"/>
        <w:contextualSpacing w:val="0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rtl w:val="0"/>
        </w:rPr>
        <w:t xml:space="preserve">INTRODUÇÃO</w:t>
      </w:r>
    </w:p>
    <w:p w:rsidR="00000000" w:rsidDel="00000000" w:rsidP="00000000" w:rsidRDefault="00000000" w:rsidRPr="00000000" w14:paraId="000000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realizou uma vistoria técnica a fim de averiguar as condições dos resíduos químicos na prévia de retirada do Prédio da Engenharia Elétrica, na </w:t>
      </w:r>
      <w:r w:rsidDel="00000000" w:rsidR="00000000" w:rsidRPr="00000000">
        <w:rPr>
          <w:rFonts w:ascii="Arial" w:cs="Arial" w:eastAsia="Arial" w:hAnsi="Arial"/>
          <w:rtl w:val="0"/>
        </w:rPr>
        <w:t xml:space="preserve">Engenharia de Sistemas Eletrônicos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PSI). Os itens verificados se basearam na organização do local, acondicionamento e identificação dos resíduos a serem descartados. </w:t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i w:val="0"/>
          <w:smallCaps w:val="1"/>
          <w:strike w:val="0"/>
          <w:color w:val="365f91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br w:type="textWrapping"/>
      </w:r>
      <w:r w:rsidDel="00000000" w:rsidR="00000000" w:rsidRPr="00000000">
        <w:rPr>
          <w:rFonts w:ascii="Cambria" w:cs="Cambria" w:eastAsia="Cambria" w:hAnsi="Cambria"/>
          <w:b w:val="1"/>
          <w:i w:val="0"/>
          <w:smallCaps w:val="1"/>
          <w:strike w:val="0"/>
          <w:color w:val="365f91"/>
          <w:sz w:val="24"/>
          <w:szCs w:val="24"/>
          <w:u w:val="none"/>
          <w:shd w:fill="auto" w:val="clear"/>
          <w:vertAlign w:val="baseline"/>
          <w:rtl w:val="0"/>
        </w:rPr>
        <w:t xml:space="preserve">DESENVOLVIMENTO</w:t>
      </w:r>
    </w:p>
    <w:p w:rsidR="00000000" w:rsidDel="00000000" w:rsidP="00000000" w:rsidRDefault="00000000" w:rsidRPr="00000000" w14:paraId="000000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8"/>
          <w:szCs w:val="28"/>
          <w:rtl w:val="0"/>
        </w:rPr>
        <w:t xml:space="preserve">Cronograma</w:t>
      </w:r>
    </w:p>
    <w:p w:rsidR="00000000" w:rsidDel="00000000" w:rsidP="00000000" w:rsidRDefault="00000000" w:rsidRPr="00000000" w14:paraId="000000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estabeleceu um cronograma quantitativo de retirada dos resíduos químicos, junto a empresa especializada, conforme segue Figura 1.</w:t>
      </w:r>
    </w:p>
    <w:p w:rsidR="00000000" w:rsidDel="00000000" w:rsidP="00000000" w:rsidRDefault="00000000" w:rsidRPr="00000000" w14:paraId="000000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center"/>
        <w:rPr>
          <w:rFonts w:ascii="Cambria" w:cs="Cambria" w:eastAsia="Cambria" w:hAnsi="Cambria"/>
          <w:b w:val="1"/>
          <w:smallCaps w:val="1"/>
          <w:color w:val="365f9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810.0" w:type="dxa"/>
        <w:jc w:val="left"/>
        <w:tblInd w:w="40.0" w:type="pct"/>
        <w:tblLayout w:type="fixed"/>
        <w:tblLook w:val="0600"/>
      </w:tblPr>
      <w:tblGrid>
        <w:gridCol w:w="1590"/>
        <w:gridCol w:w="1770"/>
        <w:gridCol w:w="1845"/>
        <w:gridCol w:w="1680"/>
        <w:gridCol w:w="1425"/>
        <w:gridCol w:w="1500"/>
        <w:tblGridChange w:id="0">
          <w:tblGrid>
            <w:gridCol w:w="1590"/>
            <w:gridCol w:w="1770"/>
            <w:gridCol w:w="1845"/>
            <w:gridCol w:w="1680"/>
            <w:gridCol w:w="1425"/>
            <w:gridCol w:w="1500"/>
          </w:tblGrid>
        </w:tblGridChange>
      </w:tblGrid>
      <w:tr>
        <w:trPr>
          <w:trHeight w:val="30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PRÉDIO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A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DEPARTAMENTO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QUÍMICOS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C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ASCAREL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TOTAL (kg + 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000000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0E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0"/>
                <w:szCs w:val="20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ffffff"/>
                <w:sz w:val="20"/>
                <w:szCs w:val="20"/>
                <w:rtl w:val="0"/>
              </w:rPr>
              <w:t xml:space="preserve">DIA DA COLETA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974806"/>
                <w:sz w:val="22"/>
                <w:szCs w:val="22"/>
                <w:rtl w:val="0"/>
              </w:rPr>
              <w:t xml:space="preserve">ELÉTRICA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abf8f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0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PSI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abf8f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715,00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abf8f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2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1.447,00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abf8f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2.162,00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abf8f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color w:val="974806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8-mai</w:t>
            </w:r>
          </w:p>
        </w:tc>
      </w:tr>
      <w:tr>
        <w:trPr>
          <w:trHeight w:val="30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6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color w:val="974806"/>
                <w:sz w:val="22"/>
                <w:szCs w:val="22"/>
                <w:rtl w:val="0"/>
              </w:rPr>
              <w:t xml:space="preserve">TOTAL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715,00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8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1.447,00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f79646" w:val="clear"/>
            <w:tcMar>
              <w:top w:w="0.0" w:type="dxa"/>
              <w:left w:w="40.0" w:type="dxa"/>
              <w:bottom w:w="0.0" w:type="dxa"/>
              <w:right w:w="4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Fonts w:ascii="Calibri" w:cs="Calibri" w:eastAsia="Calibri" w:hAnsi="Calibri"/>
                <w:color w:val="974806"/>
                <w:sz w:val="22"/>
                <w:szCs w:val="22"/>
                <w:rtl w:val="0"/>
              </w:rPr>
              <w:t xml:space="preserve">2.162,00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76" w:lineRule="auto"/>
              <w:contextualSpacing w:val="0"/>
              <w:jc w:val="center"/>
              <w:rPr>
                <w:rFonts w:ascii="Calibri" w:cs="Calibri" w:eastAsia="Calibri" w:hAnsi="Calibri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tabs>
          <w:tab w:val="center" w:pos="4252"/>
          <w:tab w:val="right" w:pos="8504"/>
        </w:tabs>
        <w:contextualSpacing w:val="0"/>
        <w:jc w:val="center"/>
        <w:rPr>
          <w:rFonts w:ascii="Cambria" w:cs="Cambria" w:eastAsia="Cambria" w:hAnsi="Cambria"/>
          <w:b w:val="1"/>
          <w:smallCaps w:val="1"/>
          <w:color w:val="365f91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1. Cronograma quantitativo de retirada de resíduos químicos.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center" w:pos="4252"/>
          <w:tab w:val="right" w:pos="8504"/>
        </w:tabs>
        <w:spacing w:after="0" w:before="0" w:line="240" w:lineRule="auto"/>
        <w:ind w:left="0" w:right="0" w:firstLine="0"/>
        <w:contextualSpacing w:val="0"/>
        <w:jc w:val="left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2088450" y="3566640"/>
                          <a:ext cx="6515100" cy="426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Av Prof. Almeida Prado – Travessa 1 – nº 115 – 05508-900 – São Paulo/SP – BRASIL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  <w:t xml:space="preserve">TEL: 55 (11) 3091-5517 – e-mail: poli.usp.recicla.poli@usp.br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mbria" w:cs="Cambria" w:eastAsia="Cambria" w:hAnsi="Cambria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18"/>
                                <w:vertAlign w:val="baseline"/>
                              </w:rPr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/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margin">
                  <wp:posOffset>114300</wp:posOffset>
                </wp:positionH>
                <wp:positionV relativeFrom="paragraph">
                  <wp:posOffset>8369300</wp:posOffset>
                </wp:positionV>
                <wp:extent cx="6515100" cy="431800"/>
                <wp:effectExtent b="0" l="0" r="0" t="0"/>
                <wp:wrapNone/>
                <wp:docPr id="3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515100" cy="4318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D">
      <w:pPr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8"/>
          <w:szCs w:val="28"/>
          <w:rtl w:val="0"/>
        </w:rPr>
        <w:t xml:space="preserve">vistoria prévia</w:t>
      </w:r>
    </w:p>
    <w:p w:rsidR="00000000" w:rsidDel="00000000" w:rsidP="00000000" w:rsidRDefault="00000000" w:rsidRPr="00000000" w14:paraId="0000001E">
      <w:pPr>
        <w:contextualSpacing w:val="0"/>
        <w:rPr>
          <w:rFonts w:ascii="Cambria" w:cs="Cambria" w:eastAsia="Cambria" w:hAnsi="Cambria"/>
          <w:smallCaps w:val="1"/>
          <w:color w:val="434343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lme (laboratório de microestrutura e ecoeficiência)</w:t>
      </w:r>
    </w:p>
    <w:p w:rsidR="00000000" w:rsidDel="00000000" w:rsidP="00000000" w:rsidRDefault="00000000" w:rsidRPr="00000000" w14:paraId="0000001F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Monitor: Rodrigo Elizardo Gerber - Data: 12/04/2018</w:t>
      </w:r>
    </w:p>
    <w:p w:rsidR="00000000" w:rsidDel="00000000" w:rsidP="00000000" w:rsidRDefault="00000000" w:rsidRPr="00000000" w14:paraId="00000020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Responsáveis Contatados: Maria Lúcia Pereira da Silva e Ricardo Rangel</w:t>
      </w:r>
    </w:p>
    <w:p w:rsidR="00000000" w:rsidDel="00000000" w:rsidP="00000000" w:rsidRDefault="00000000" w:rsidRPr="00000000" w14:paraId="00000021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</w:t>
      </w:r>
      <w:hyperlink r:id="rId7">
        <w:r w:rsidDel="00000000" w:rsidR="00000000" w:rsidRPr="00000000">
          <w:rPr>
            <w:rFonts w:ascii="Tahoma" w:cs="Tahoma" w:eastAsia="Tahoma" w:hAnsi="Tahoma"/>
            <w:color w:val="1155cc"/>
            <w:u w:val="single"/>
            <w:rtl w:val="0"/>
          </w:rPr>
          <w:t xml:space="preserve">malu@lsi.usp.br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91-9726</w:t>
      </w:r>
    </w:p>
    <w:p w:rsidR="00000000" w:rsidDel="00000000" w:rsidP="00000000" w:rsidRDefault="00000000" w:rsidRPr="00000000" w14:paraId="00000023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Os resíduos estão sem identificação (Figuras 2 e 3). Os responsáveis se mostraram comprometidos em organizar os reagentes até o dia da coleta.</w:t>
      </w:r>
    </w:p>
    <w:tbl>
      <w:tblPr>
        <w:tblStyle w:val="Table2"/>
        <w:tblW w:w="10306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5153"/>
        <w:gridCol w:w="5153"/>
        <w:tblGridChange w:id="0">
          <w:tblGrid>
            <w:gridCol w:w="5153"/>
            <w:gridCol w:w="515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1663700" cy="2220742"/>
                  <wp:effectExtent b="0" l="0" r="0" t="0"/>
                  <wp:docPr id="23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8"/>
                          <a:srcRect b="0" l="21875" r="21875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22207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1636073" cy="2178368"/>
                  <wp:effectExtent b="0" l="0" r="0" t="0"/>
                  <wp:docPr id="6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9"/>
                          <a:srcRect b="88" l="0" r="0" t="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073" cy="21783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Figuras  2 e 3. Recipientes com resíduos químicos ainda não etiquetados.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8">
      <w:pPr>
        <w:contextualSpacing w:val="0"/>
        <w:rPr>
          <w:rFonts w:ascii="Cambria" w:cs="Cambria" w:eastAsia="Cambria" w:hAnsi="Cambria"/>
          <w:smallCaps w:val="1"/>
          <w:color w:val="434343"/>
          <w:sz w:val="36"/>
          <w:szCs w:val="36"/>
        </w:rPr>
      </w:pPr>
      <w:r w:rsidDel="00000000" w:rsidR="00000000" w:rsidRPr="00000000">
        <w:rPr>
          <w:rFonts w:ascii="Cambria" w:cs="Cambria" w:eastAsia="Cambria" w:hAnsi="Cambria"/>
          <w:smallCaps w:val="1"/>
          <w:color w:val="434343"/>
          <w:sz w:val="36"/>
          <w:szCs w:val="36"/>
          <w:rtl w:val="0"/>
        </w:rPr>
        <w:t xml:space="preserve">lsi: laboratório de sistemas integráveis</w:t>
      </w:r>
    </w:p>
    <w:p w:rsidR="00000000" w:rsidDel="00000000" w:rsidP="00000000" w:rsidRDefault="00000000" w:rsidRPr="00000000" w14:paraId="00000029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Monitor: Rodrigo Elizardo Gerber - Data: 12/04/2018</w:t>
      </w:r>
    </w:p>
    <w:p w:rsidR="00000000" w:rsidDel="00000000" w:rsidP="00000000" w:rsidRDefault="00000000" w:rsidRPr="00000000" w14:paraId="0000002A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Responsáveis Contatados: Maria Lúcia Pereira da Silva e Ricardo Rangel</w:t>
      </w:r>
    </w:p>
    <w:p w:rsidR="00000000" w:rsidDel="00000000" w:rsidP="00000000" w:rsidRDefault="00000000" w:rsidRPr="00000000" w14:paraId="0000002B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Contato: </w:t>
      </w:r>
      <w:hyperlink r:id="rId10">
        <w:r w:rsidDel="00000000" w:rsidR="00000000" w:rsidRPr="00000000">
          <w:rPr>
            <w:rFonts w:ascii="Tahoma" w:cs="Tahoma" w:eastAsia="Tahoma" w:hAnsi="Tahoma"/>
            <w:color w:val="1155cc"/>
            <w:u w:val="single"/>
            <w:rtl w:val="0"/>
          </w:rPr>
          <w:t xml:space="preserve">malu@lsi.usp.br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Ramal: 91-9726</w:t>
      </w:r>
    </w:p>
    <w:p w:rsidR="00000000" w:rsidDel="00000000" w:rsidP="00000000" w:rsidRDefault="00000000" w:rsidRPr="00000000" w14:paraId="0000002D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Situação: Serão descartados dois tonéis de ascarel (Figura 4).</w:t>
      </w:r>
    </w:p>
    <w:p w:rsidR="00000000" w:rsidDel="00000000" w:rsidP="00000000" w:rsidRDefault="00000000" w:rsidRPr="00000000" w14:paraId="0000002E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2009775" cy="2668851"/>
            <wp:effectExtent b="0" l="0" r="0" t="0"/>
            <wp:docPr id="21" name="image43.jpg"/>
            <a:graphic>
              <a:graphicData uri="http://schemas.openxmlformats.org/drawingml/2006/picture">
                <pic:pic>
                  <pic:nvPicPr>
                    <pic:cNvPr id="0" name="image43.jpg"/>
                    <pic:cNvPicPr preferRelativeResize="0"/>
                  </pic:nvPicPr>
                  <pic:blipFill>
                    <a:blip r:embed="rId11"/>
                    <a:srcRect b="0" l="21908" r="2190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688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4. Tonéis com ascarel para descarte.</w:t>
      </w:r>
    </w:p>
    <w:p w:rsidR="00000000" w:rsidDel="00000000" w:rsidP="00000000" w:rsidRDefault="00000000" w:rsidRPr="00000000" w14:paraId="00000032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tabs>
          <w:tab w:val="center" w:pos="4252"/>
          <w:tab w:val="right" w:pos="8504"/>
        </w:tabs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8"/>
          <w:szCs w:val="28"/>
          <w:rtl w:val="0"/>
        </w:rPr>
        <w:t xml:space="preserve">coleta dos resíduos químicos</w:t>
      </w:r>
    </w:p>
    <w:p w:rsidR="00000000" w:rsidDel="00000000" w:rsidP="00000000" w:rsidRDefault="00000000" w:rsidRPr="00000000" w14:paraId="00000034">
      <w:pPr>
        <w:tabs>
          <w:tab w:val="center" w:pos="4252"/>
          <w:tab w:val="right" w:pos="8504"/>
        </w:tabs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A coleta realizada no dia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08</w:t>
      </w:r>
      <w:r w:rsidDel="00000000" w:rsidR="00000000" w:rsidRPr="00000000">
        <w:rPr>
          <w:rFonts w:ascii="Tahoma" w:cs="Tahoma" w:eastAsia="Tahoma" w:hAnsi="Tahoma"/>
          <w:rtl w:val="0"/>
        </w:rPr>
        <w:t xml:space="preserve">.05.2018 totalizou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1.852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Kg de resíduos químicos, sendo 440 Kg de resíduos químicos diversos e 1.412 Kg de equipamentos e resíduos com ascarel (Figura 5 e 6). </w:t>
      </w:r>
    </w:p>
    <w:p w:rsidR="00000000" w:rsidDel="00000000" w:rsidP="00000000" w:rsidRDefault="00000000" w:rsidRPr="00000000" w14:paraId="00000036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</w:p>
    <w:p w:rsidR="00000000" w:rsidDel="00000000" w:rsidP="00000000" w:rsidRDefault="00000000" w:rsidRPr="00000000" w14:paraId="00000037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Início: 10</w:t>
      </w:r>
      <w:r w:rsidDel="00000000" w:rsidR="00000000" w:rsidRPr="00000000">
        <w:rPr>
          <w:rFonts w:ascii="Tahoma" w:cs="Tahoma" w:eastAsia="Tahoma" w:hAnsi="Tahoma"/>
          <w:rtl w:val="0"/>
        </w:rPr>
        <w:t xml:space="preserve">h00</w:t>
      </w:r>
    </w:p>
    <w:p w:rsidR="00000000" w:rsidDel="00000000" w:rsidP="00000000" w:rsidRDefault="00000000" w:rsidRPr="00000000" w14:paraId="00000038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Término: 11h30</w:t>
      </w:r>
    </w:p>
    <w:p w:rsidR="00000000" w:rsidDel="00000000" w:rsidP="00000000" w:rsidRDefault="00000000" w:rsidRPr="00000000" w14:paraId="00000039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5208588" cy="6675673"/>
            <wp:effectExtent b="0" l="0" r="0" t="0"/>
            <wp:docPr id="1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08588" cy="66756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5. Manifesto de Transporte de Resíduo 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306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5153"/>
        <w:gridCol w:w="5153"/>
        <w:tblGridChange w:id="0">
          <w:tblGrid>
            <w:gridCol w:w="5153"/>
            <w:gridCol w:w="515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3132106" cy="1759267"/>
                  <wp:effectExtent b="0" l="0" r="0" t="0"/>
                  <wp:docPr id="11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106" cy="175926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3133725" cy="1765300"/>
                  <wp:effectExtent b="0" l="0" r="0" t="0"/>
                  <wp:docPr id="13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176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3078163" cy="2647781"/>
                  <wp:effectExtent b="0" l="0" r="0" t="0"/>
                  <wp:docPr id="16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163" cy="26477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3187283" cy="2664142"/>
                  <wp:effectExtent b="0" l="0" r="0" t="0"/>
                  <wp:docPr id="22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283" cy="26641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878138" cy="2695575"/>
                  <wp:effectExtent b="0" l="0" r="0" t="0"/>
                  <wp:docPr id="17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138" cy="2695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439988" cy="2638425"/>
                  <wp:effectExtent b="0" l="0" r="0" t="0"/>
                  <wp:docPr id="4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988" cy="2638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620963" cy="3629025"/>
                  <wp:effectExtent b="0" l="0" r="0" t="0"/>
                  <wp:docPr id="15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63" cy="3629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798762" cy="3581400"/>
                  <wp:effectExtent b="0" l="0" r="0" t="0"/>
                  <wp:docPr id="19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8762" cy="358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8">
      <w:pPr>
        <w:tabs>
          <w:tab w:val="center" w:pos="4252"/>
          <w:tab w:val="right" w:pos="8504"/>
        </w:tabs>
        <w:contextualSpacing w:val="0"/>
        <w:jc w:val="center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Fonts w:ascii="Tahoma" w:cs="Tahoma" w:eastAsia="Tahoma" w:hAnsi="Tahoma"/>
          <w:sz w:val="20"/>
          <w:szCs w:val="20"/>
          <w:rtl w:val="0"/>
        </w:rPr>
        <w:t xml:space="preserve">Figura 6. Procedimento de descarte de resíduos químicos. </w:t>
      </w:r>
    </w:p>
    <w:p w:rsidR="00000000" w:rsidDel="00000000" w:rsidP="00000000" w:rsidRDefault="00000000" w:rsidRPr="00000000" w14:paraId="00000049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Os equipamentos contaminados com ascarel a serem retirados foram todos contabilizados no dia 08.05.2018, mas uma parte deles não foi retirada na data por dificuldade técnica da empresa que não possuía a bomba necessária para retirar o ascarel de dentro dos transformadores e armazená-lo em recipiente adequado; esse procedimento é importante para minimizar o risco de vazamento do efluente contaminante durante o transporte. Esse material foi retirado no dia 04.07.18 pela Saniplan, com o equipamento adequado para o serviço (Figura 7). </w:t>
      </w:r>
    </w:p>
    <w:p w:rsidR="00000000" w:rsidDel="00000000" w:rsidP="00000000" w:rsidRDefault="00000000" w:rsidRPr="00000000" w14:paraId="0000004B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tabs>
          <w:tab w:val="center" w:pos="4252"/>
          <w:tab w:val="right" w:pos="8504"/>
        </w:tabs>
        <w:contextualSpacing w:val="0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3133725" cy="2349500"/>
            <wp:effectExtent b="0" l="0" r="0" t="0"/>
            <wp:docPr id="9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4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ahoma" w:cs="Tahoma" w:eastAsia="Tahoma" w:hAnsi="Tahoma"/>
        </w:rPr>
        <w:drawing>
          <wp:inline distB="114300" distT="114300" distL="114300" distR="114300">
            <wp:extent cx="3133725" cy="2392680"/>
            <wp:effectExtent b="0" l="0" r="0" t="0"/>
            <wp:docPr id="18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22"/>
                    <a:srcRect b="18394" l="0" r="0" t="24419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92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tbl>
      <w:tblPr>
        <w:tblStyle w:val="Table4"/>
        <w:tblW w:w="10306.0" w:type="dxa"/>
        <w:jc w:val="left"/>
        <w:tblInd w:w="100.0" w:type="pct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600"/>
      </w:tblPr>
      <w:tblGrid>
        <w:gridCol w:w="5153"/>
        <w:gridCol w:w="5153"/>
        <w:tblGridChange w:id="0">
          <w:tblGrid>
            <w:gridCol w:w="5153"/>
            <w:gridCol w:w="515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897188" cy="2952750"/>
                  <wp:effectExtent b="0" l="0" r="0" t="0"/>
                  <wp:docPr id="20" name="image41.jpg"/>
                  <a:graphic>
                    <a:graphicData uri="http://schemas.openxmlformats.org/drawingml/2006/picture">
                      <pic:pic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188" cy="29527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F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992438" cy="2905125"/>
                  <wp:effectExtent b="0" l="0" r="0" t="0"/>
                  <wp:docPr id="5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438" cy="2905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3133725" cy="2349500"/>
                  <wp:effectExtent b="0" l="0" r="0" t="0"/>
                  <wp:docPr id="12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2349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widowControl w:val="0"/>
              <w:contextualSpacing w:val="0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</w:rPr>
              <w:drawing>
                <wp:inline distB="114300" distT="114300" distL="114300" distR="114300">
                  <wp:extent cx="2220913" cy="2390775"/>
                  <wp:effectExtent b="0" l="0" r="0" t="0"/>
                  <wp:docPr id="10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913" cy="2390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tabs>
                <w:tab w:val="center" w:pos="4252"/>
                <w:tab w:val="right" w:pos="8504"/>
              </w:tabs>
              <w:contextualSpacing w:val="0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Figura 7. Procedimento de retirada de transformadores contaminados com ascarel.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6">
      <w:pPr>
        <w:tabs>
          <w:tab w:val="center" w:pos="4252"/>
          <w:tab w:val="right" w:pos="8504"/>
        </w:tabs>
        <w:contextualSpacing w:val="0"/>
        <w:jc w:val="center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tabs>
          <w:tab w:val="center" w:pos="4252"/>
          <w:tab w:val="right" w:pos="8504"/>
        </w:tabs>
        <w:ind w:firstLine="720"/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rtl w:val="0"/>
        </w:rPr>
        <w:t xml:space="preserve">O Poli Recicla ressalta a importância no gerenciamento de resíduos químicos, a considerar identificação e forma de armazenamento, itens primordiais para a boa conduta da Escola Politécnica com os resíduos gerados.</w:t>
      </w:r>
    </w:p>
    <w:p w:rsidR="00000000" w:rsidDel="00000000" w:rsidP="00000000" w:rsidRDefault="00000000" w:rsidRPr="00000000" w14:paraId="00000058">
      <w:pPr>
        <w:tabs>
          <w:tab w:val="center" w:pos="4252"/>
          <w:tab w:val="right" w:pos="8504"/>
        </w:tabs>
        <w:contextualSpacing w:val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tabs>
          <w:tab w:val="center" w:pos="4252"/>
          <w:tab w:val="right" w:pos="8504"/>
        </w:tabs>
        <w:contextualSpacing w:val="0"/>
        <w:jc w:val="center"/>
        <w:rPr>
          <w:rFonts w:ascii="Cambria" w:cs="Cambria" w:eastAsia="Cambria" w:hAnsi="Cambria"/>
          <w:b w:val="1"/>
          <w:smallCaps w:val="1"/>
          <w:color w:val="365f91"/>
          <w:sz w:val="28"/>
          <w:szCs w:val="28"/>
        </w:rPr>
      </w:pPr>
      <w:r w:rsidDel="00000000" w:rsidR="00000000" w:rsidRPr="00000000">
        <w:rPr>
          <w:rtl w:val="0"/>
        </w:rPr>
      </w:r>
    </w:p>
    <w:sectPr>
      <w:headerReference r:id="rId27" w:type="default"/>
      <w:footerReference r:id="rId28" w:type="default"/>
      <w:pgSz w:h="16838" w:w="11906"/>
      <w:pgMar w:bottom="1620" w:top="1812" w:left="800" w:right="800" w:header="454" w:footer="567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Cambria"/>
  <w:font w:name="Arial"/>
  <w:font w:name="Calibri"/>
  <w:font w:name="Times New Roman"/>
  <w:font w:name="Tahoma">
    <w:embedRegular w:fontKey="{00000000-0000-0000-0000-000000000000}" r:id="rId1" w:subsetted="0"/>
    <w:embedBold w:fontKey="{00000000-0000-0000-0000-000000000000}" r:id="rId2" w:subsetted="0"/>
  </w:font>
  <w:font w:name="Balthazar">
    <w:embedRegular w:fontKey="{00000000-0000-0000-0000-000000000000}" r:id="rId3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D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left"/>
      <w:rPr>
        <w:rFonts w:ascii="Balthazar" w:cs="Balthazar" w:eastAsia="Balthazar" w:hAnsi="Balthazar"/>
        <w:b w:val="0"/>
        <w:i w:val="0"/>
        <w:smallCaps w:val="0"/>
        <w:strike w:val="0"/>
        <w:color w:val="000000"/>
        <w:sz w:val="14"/>
        <w:szCs w:val="1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114300</wp:posOffset>
              </wp:positionH>
              <wp:positionV relativeFrom="paragraph">
                <wp:posOffset>-203199</wp:posOffset>
              </wp:positionV>
              <wp:extent cx="6515100" cy="12700"/>
              <wp:effectExtent b="0" l="0" r="0" t="0"/>
              <wp:wrapNone/>
              <wp:docPr id="2" name=""/>
              <a:graphic>
                <a:graphicData uri="http://schemas.microsoft.com/office/word/2010/wordprocessingShape">
                  <wps:wsp>
                    <wps:cNvCnPr/>
                    <wps:spPr>
                      <a:xfrm>
                        <a:off x="2088450" y="3780000"/>
                        <a:ext cx="6515100" cy="0"/>
                      </a:xfrm>
                      <a:prstGeom prst="straightConnector1">
                        <a:avLst/>
                      </a:prstGeom>
                      <a:noFill/>
                      <a:ln cap="flat" cmpd="sng" w="9525">
                        <a:solidFill>
                          <a:srgbClr val="000000"/>
                        </a:solidFill>
                        <a:prstDash val="solid"/>
                        <a:round/>
                        <a:headEnd len="sm" w="sm" type="none"/>
                        <a:tailEnd len="sm" w="sm" type="none"/>
                      </a:ln>
                    </wps:spPr>
                    <wps:bodyPr anchorCtr="0" anchor="ctr" bIns="91425" lIns="91425" spcFirstLastPara="1" rIns="91425" wrap="square" tIns="91425"/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114300</wp:posOffset>
              </wp:positionH>
              <wp:positionV relativeFrom="paragraph">
                <wp:posOffset>-203199</wp:posOffset>
              </wp:positionV>
              <wp:extent cx="6515100" cy="12700"/>
              <wp:effectExtent b="0" l="0" r="0" t="0"/>
              <wp:wrapNone/>
              <wp:docPr id="2" name="image21.png"/>
              <a:graphic>
                <a:graphicData uri="http://schemas.openxmlformats.org/drawingml/2006/picture">
                  <pic:pic>
                    <pic:nvPicPr>
                      <pic:cNvPr id="0" name="image21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15100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254000</wp:posOffset>
              </wp:positionH>
              <wp:positionV relativeFrom="paragraph">
                <wp:posOffset>-190499</wp:posOffset>
              </wp:positionV>
              <wp:extent cx="6515100" cy="431800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088450" y="3566640"/>
                        <a:ext cx="6515100" cy="4267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  <w:t xml:space="preserve">Av Prof. Almeida Prado – Travessa 1 – nº 115 – 05508-900 – São Paulo/SP – BRASIL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  <w:t xml:space="preserve">TEL: 55 (11) 3091-5517 – e-mail: recicla.poli@usp.br</w:t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</w:p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mbria" w:cs="Cambria" w:eastAsia="Cambria" w:hAnsi="Cambria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18"/>
                              <w:vertAlign w:val="baseline"/>
                            </w:rPr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/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margin">
                <wp:posOffset>254000</wp:posOffset>
              </wp:positionH>
              <wp:positionV relativeFrom="paragraph">
                <wp:posOffset>-190499</wp:posOffset>
              </wp:positionV>
              <wp:extent cx="6515100" cy="431800"/>
              <wp:effectExtent b="0" l="0" r="0" t="0"/>
              <wp:wrapNone/>
              <wp:docPr id="1" name="image18.png"/>
              <a:graphic>
                <a:graphicData uri="http://schemas.openxmlformats.org/drawingml/2006/picture">
                  <pic:pic>
                    <pic:nvPicPr>
                      <pic:cNvPr id="0" name="image18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6515100" cy="4318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A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margin">
            <wp:posOffset>228600</wp:posOffset>
          </wp:positionH>
          <wp:positionV relativeFrom="paragraph">
            <wp:posOffset>59689</wp:posOffset>
          </wp:positionV>
          <wp:extent cx="4825365" cy="633730"/>
          <wp:effectExtent b="0" l="0" r="0" t="0"/>
          <wp:wrapSquare wrapText="bothSides" distB="0" distT="0" distL="114300" distR="114300"/>
          <wp:docPr descr="head_02" id="7" name="image28.png"/>
          <a:graphic>
            <a:graphicData uri="http://schemas.openxmlformats.org/drawingml/2006/picture">
              <pic:pic>
                <pic:nvPicPr>
                  <pic:cNvPr descr="head_02" id="0" name="image2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4825365" cy="633730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5B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margin">
            <wp:posOffset>5582920</wp:posOffset>
          </wp:positionH>
          <wp:positionV relativeFrom="paragraph">
            <wp:posOffset>1905</wp:posOffset>
          </wp:positionV>
          <wp:extent cx="981710" cy="417195"/>
          <wp:effectExtent b="0" l="0" r="0" t="0"/>
          <wp:wrapNone/>
          <wp:docPr descr="C:\Users\Camila\Downloads\logo novo.jpg" id="8" name="image29.jpg"/>
          <a:graphic>
            <a:graphicData uri="http://schemas.openxmlformats.org/drawingml/2006/picture">
              <pic:pic>
                <pic:nvPicPr>
                  <pic:cNvPr descr="C:\Users\Camila\Downloads\logo novo.jpg" id="0" name="image29.jp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81710" cy="417195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5C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252"/>
        <w:tab w:val="right" w:pos="8504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ab/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pt-BR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0.png"/><Relationship Id="rId22" Type="http://schemas.openxmlformats.org/officeDocument/2006/relationships/image" Target="media/image39.jpg"/><Relationship Id="rId21" Type="http://schemas.openxmlformats.org/officeDocument/2006/relationships/image" Target="media/image30.jpg"/><Relationship Id="rId24" Type="http://schemas.openxmlformats.org/officeDocument/2006/relationships/image" Target="media/image25.jpg"/><Relationship Id="rId23" Type="http://schemas.openxmlformats.org/officeDocument/2006/relationships/image" Target="media/image4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7.jpg"/><Relationship Id="rId26" Type="http://schemas.openxmlformats.org/officeDocument/2006/relationships/image" Target="media/image31.jpg"/><Relationship Id="rId25" Type="http://schemas.openxmlformats.org/officeDocument/2006/relationships/image" Target="media/image33.jpg"/><Relationship Id="rId28" Type="http://schemas.openxmlformats.org/officeDocument/2006/relationships/footer" Target="footer1.xml"/><Relationship Id="rId27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23.png"/><Relationship Id="rId7" Type="http://schemas.openxmlformats.org/officeDocument/2006/relationships/hyperlink" Target="mailto:malu@lsi.usp.br" TargetMode="External"/><Relationship Id="rId8" Type="http://schemas.openxmlformats.org/officeDocument/2006/relationships/image" Target="media/image46.jpg"/><Relationship Id="rId11" Type="http://schemas.openxmlformats.org/officeDocument/2006/relationships/image" Target="media/image43.jpg"/><Relationship Id="rId10" Type="http://schemas.openxmlformats.org/officeDocument/2006/relationships/hyperlink" Target="mailto:malu@lsi.usp.br" TargetMode="External"/><Relationship Id="rId13" Type="http://schemas.openxmlformats.org/officeDocument/2006/relationships/image" Target="media/image32.png"/><Relationship Id="rId12" Type="http://schemas.openxmlformats.org/officeDocument/2006/relationships/image" Target="media/image35.png"/><Relationship Id="rId15" Type="http://schemas.openxmlformats.org/officeDocument/2006/relationships/image" Target="media/image37.png"/><Relationship Id="rId14" Type="http://schemas.openxmlformats.org/officeDocument/2006/relationships/image" Target="media/image34.png"/><Relationship Id="rId17" Type="http://schemas.openxmlformats.org/officeDocument/2006/relationships/image" Target="media/image38.png"/><Relationship Id="rId16" Type="http://schemas.openxmlformats.org/officeDocument/2006/relationships/image" Target="media/image44.png"/><Relationship Id="rId19" Type="http://schemas.openxmlformats.org/officeDocument/2006/relationships/image" Target="media/image36.png"/><Relationship Id="rId18" Type="http://schemas.openxmlformats.org/officeDocument/2006/relationships/image" Target="media/image2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Relationship Id="rId3" Type="http://schemas.openxmlformats.org/officeDocument/2006/relationships/font" Target="fonts/Balthazar-regular.ttf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1.png"/><Relationship Id="rId2" Type="http://schemas.openxmlformats.org/officeDocument/2006/relationships/image" Target="media/image18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8.png"/><Relationship Id="rId2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