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Bdr>
          <w:bottom w:color="4f81bd" w:space="4" w:sz="8" w:val="single"/>
        </w:pBdr>
        <w:contextualSpacing w:val="0"/>
        <w:jc w:val="center"/>
        <w:rPr>
          <w:rFonts w:ascii="Cambria" w:cs="Cambria" w:eastAsia="Cambria" w:hAnsi="Cambria"/>
          <w:color w:val="17365d"/>
          <w:sz w:val="52"/>
          <w:szCs w:val="52"/>
        </w:rPr>
      </w:pPr>
      <w:bookmarkStart w:colFirst="0" w:colLast="0" w:name="_gjdgxs" w:id="0"/>
      <w:bookmarkEnd w:id="0"/>
      <w:r w:rsidDel="00000000" w:rsidR="00000000" w:rsidRPr="00000000">
        <w:rPr>
          <w:rFonts w:ascii="Cambria" w:cs="Cambria" w:eastAsia="Cambria" w:hAnsi="Cambria"/>
          <w:color w:val="17365d"/>
          <w:sz w:val="52"/>
          <w:szCs w:val="52"/>
          <w:rtl w:val="0"/>
        </w:rPr>
        <w:t xml:space="preserve">INFORMATIVO</w:t>
      </w:r>
    </w:p>
    <w:p w:rsidR="00000000" w:rsidDel="00000000" w:rsidP="00000000" w:rsidRDefault="00000000" w:rsidRPr="00000000" w14:paraId="00000001">
      <w:pPr>
        <w:pBdr>
          <w:bottom w:color="4f81bd" w:space="4" w:sz="8" w:val="single"/>
        </w:pBdr>
        <w:contextualSpacing w:val="0"/>
        <w:jc w:val="center"/>
        <w:rPr>
          <w:rFonts w:ascii="Cambria" w:cs="Cambria" w:eastAsia="Cambria" w:hAnsi="Cambria"/>
          <w:color w:val="17365d"/>
          <w:sz w:val="52"/>
          <w:szCs w:val="52"/>
        </w:rPr>
      </w:pPr>
      <w:r w:rsidDel="00000000" w:rsidR="00000000" w:rsidRPr="00000000">
        <w:rPr>
          <w:rFonts w:ascii="Cambria" w:cs="Cambria" w:eastAsia="Cambria" w:hAnsi="Cambria"/>
          <w:b w:val="1"/>
          <w:color w:val="17365d"/>
          <w:sz w:val="40"/>
          <w:szCs w:val="40"/>
          <w:rtl w:val="0"/>
        </w:rPr>
        <w:t xml:space="preserve">Descarte de Resíduos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1"/>
        <w:spacing w:after="240" w:before="240" w:lineRule="auto"/>
        <w:ind w:left="432" w:hanging="432"/>
        <w:contextualSpacing w:val="0"/>
        <w:rPr>
          <w:rFonts w:ascii="Cambria" w:cs="Cambria" w:eastAsia="Cambria" w:hAnsi="Cambria"/>
          <w:b w:val="1"/>
          <w:smallCaps w:val="1"/>
          <w:color w:val="365f91"/>
        </w:rPr>
      </w:pPr>
      <w:r w:rsidDel="00000000" w:rsidR="00000000" w:rsidRPr="00000000">
        <w:rPr>
          <w:rFonts w:ascii="Cambria" w:cs="Cambria" w:eastAsia="Cambria" w:hAnsi="Cambria"/>
          <w:b w:val="1"/>
          <w:smallCaps w:val="1"/>
          <w:color w:val="365f91"/>
          <w:rtl w:val="0"/>
        </w:rPr>
        <w:t xml:space="preserve">INTRODUÇÃO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Poli Recicla tem por missão incorporar a gestão sustentável dos resíduos gerados ao sistema de gestão da Escola Politécnica (EP), além de estimular a comunidade a participar deste processo. O foco é garantir que ocorra o adequado descarte, a fim de reduzir a poluição e preservar o meio ambiente, de acordo com a legislação vigente. Nossa atuação abrange resíduos recicláveis, perigosos, bitucas de cigarro, inservíveis, construção civil e eletroeletrônicos. No entanto, a efetivação dessa gestão só é possível com a adequação dos setores às práticas exigidas, sendo indispensável a colaboração de todos no descarte adequado dos resíduos.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1"/>
          <w:i w:val="0"/>
          <w:smallCaps w:val="1"/>
          <w:strike w:val="0"/>
          <w:color w:val="365f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br w:type="textWrapping"/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1"/>
          <w:strike w:val="0"/>
          <w:color w:val="365f91"/>
          <w:sz w:val="24"/>
          <w:szCs w:val="24"/>
          <w:u w:val="none"/>
          <w:shd w:fill="auto" w:val="clear"/>
          <w:vertAlign w:val="baseline"/>
          <w:rtl w:val="0"/>
        </w:rPr>
        <w:t xml:space="preserve">DESENVOLVIMENTO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1"/>
          <w:i w:val="0"/>
          <w:smallCaps w:val="1"/>
          <w:strike w:val="0"/>
          <w:color w:val="365f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procedimentos listados abaixo tem o objetivo de adequar práticas de descarte de resíduos nos prédios da EP. As possíveis dúvidas devem ser direcionadas a gestora Camila Marinho, Poli Recicla, através do e-mail </w:t>
      </w:r>
      <w:hyperlink r:id="rId6">
        <w:r w:rsidDel="00000000" w:rsidR="00000000" w:rsidRPr="00000000">
          <w:rPr>
            <w:rFonts w:ascii="Tahoma" w:cs="Tahoma" w:eastAsia="Tahoma" w:hAnsi="Tahoma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recicla.poli@usp.br</w:t>
        </w:r>
      </w:hyperlink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ou do ramal 91-5517: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both"/>
        <w:rPr>
          <w:rFonts w:ascii="Tahoma" w:cs="Tahoma" w:eastAsia="Tahoma" w:hAnsi="Tahoma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Resíduos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Comuns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  <w:rtl w:val="0"/>
        </w:rPr>
        <w:t xml:space="preserve">veja Anexo 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00" w:line="276" w:lineRule="auto"/>
        <w:contextualSpacing w:val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365f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Depositar nos coletores cinza nos corredores dos prédios ou nas lixeiras de concreto distribuídos na EP.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365f91"/>
          <w:sz w:val="24"/>
          <w:szCs w:val="24"/>
          <w:u w:val="none"/>
          <w:shd w:fill="auto" w:val="clear"/>
          <w:vertAlign w:val="baseline"/>
          <w:rtl w:val="0"/>
        </w:rPr>
        <w:t xml:space="preserve"> IMPORTANTE: este resíduo deve ser acondicionado em saco preto.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2844.0" w:type="dxa"/>
        <w:jc w:val="left"/>
        <w:tblInd w:w="2734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368"/>
        <w:gridCol w:w="1476"/>
        <w:tblGridChange w:id="0">
          <w:tblGrid>
            <w:gridCol w:w="1368"/>
            <w:gridCol w:w="1476"/>
          </w:tblGrid>
        </w:tblGridChange>
      </w:tblGrid>
      <w:tr>
        <w:trPr>
          <w:trHeight w:val="180" w:hRule="atLeast"/>
        </w:trPr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619125" cy="1104900"/>
                  <wp:effectExtent b="0" l="0" r="0" t="0"/>
                  <wp:docPr id="5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685800" cy="1095375"/>
                  <wp:effectExtent b="0" l="0" r="0" t="0"/>
                  <wp:docPr id="8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095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spacing w:after="200" w:line="276" w:lineRule="auto"/>
        <w:ind w:left="0" w:firstLine="720"/>
        <w:contextualSpacing w:val="0"/>
        <w:jc w:val="both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A coleta de resíduos comuns da Escola Politécnica é realizada por uma equipe de limpeza terceirizada, a qual segrega este resíduo dos coletores de corredor e depois direciona às lixeiras de alvenaria ao final de cada jornada. A partir das 22h outra empresa terceirizada realiza a coleta deste resíduo, destinando-o a um aterro sanitário municipal preparado para o recebimento de resíduos classe II-B (não perigosos e inertes). A coleta dos resíduos comuns atende a Lei Municipal nº 14.974/2009 e ao Decreto Municipal nº 51.907/ 2010.</w:t>
      </w: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spacing w:after="200" w:line="276" w:lineRule="auto"/>
        <w:ind w:left="0" w:firstLine="720"/>
        <w:contextualSpacing w:val="0"/>
        <w:jc w:val="both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line="276" w:lineRule="auto"/>
        <w:ind w:left="0" w:firstLine="720"/>
        <w:contextualSpacing w:val="0"/>
        <w:jc w:val="both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both"/>
        <w:rPr>
          <w:rFonts w:ascii="Tahoma" w:cs="Tahoma" w:eastAsia="Tahoma" w:hAnsi="Tahoma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Resíduos Recicláveis (plástico, papel, metal, vidro e isopor) -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  <w:rtl w:val="0"/>
        </w:rPr>
        <w:t xml:space="preserve">veja Anexo 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365f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Depositar nos coletores coloridos distribuídos na EP.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365f91"/>
          <w:sz w:val="24"/>
          <w:szCs w:val="24"/>
          <w:u w:val="none"/>
          <w:shd w:fill="auto" w:val="clear"/>
          <w:vertAlign w:val="baseline"/>
          <w:rtl w:val="0"/>
        </w:rPr>
        <w:t xml:space="preserve"> IMPORTANTE: este resíduo deve ser acondicionado em saco azul.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821277" cy="2339998"/>
            <wp:effectExtent b="0" l="0" r="0" t="0"/>
            <wp:docPr id="9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9"/>
                    <a:srcRect b="31012" l="4878" r="0" t="7433"/>
                    <a:stretch>
                      <a:fillRect/>
                    </a:stretch>
                  </pic:blipFill>
                  <pic:spPr>
                    <a:xfrm>
                      <a:off x="0" y="0"/>
                      <a:ext cx="4821277" cy="23399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4267200</wp:posOffset>
            </wp:positionH>
            <wp:positionV relativeFrom="paragraph">
              <wp:posOffset>1085850</wp:posOffset>
            </wp:positionV>
            <wp:extent cx="509905" cy="495300"/>
            <wp:effectExtent b="0" l="0" r="0" t="0"/>
            <wp:wrapNone/>
            <wp:docPr id="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49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3104515</wp:posOffset>
            </wp:positionH>
            <wp:positionV relativeFrom="paragraph">
              <wp:posOffset>1086485</wp:posOffset>
            </wp:positionV>
            <wp:extent cx="215900" cy="375285"/>
            <wp:effectExtent b="0" l="0" r="0" t="0"/>
            <wp:wrapNone/>
            <wp:docPr id="12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752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spacing w:after="200" w:line="276" w:lineRule="auto"/>
        <w:ind w:firstLine="720"/>
        <w:contextualSpacing w:val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A coleta de resíduos recicláveis da Escola Politécnica é realizada por uma equipe de limpeza terceirizada, a qual coleta os resíduos recicláveis de sacos azuis acondicionados nos coletores dos corredores e os transferem para um coletor maior (1000L). Entre duas a três vezes por semana, outra empresa terceirizada realiza a coleta deste resíduo, além de separar e destinar o material, de acordo com o seu tipo. A coleta dos resíduos recicláveis atende a Lei nº 12.305/10, que diz respeito à política nacional de resíduos sólidos.</w:t>
      </w: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both"/>
        <w:rPr>
          <w:rFonts w:ascii="Tahoma" w:cs="Tahoma" w:eastAsia="Tahoma" w:hAnsi="Tahoma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Resíduos Perigosos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92" w:right="0" w:hanging="432"/>
        <w:contextualSpacing w:val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Lâmpadas Fluorescentes 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36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f7964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troca das lâmpadas queimadas é efetuada pela seção de manutenção predial, a qual armazena em coletores específicos dentro dos prédios (exceto no prédio da Administração). Posteriormente as direciona para a Prefeitura do Campus da Capital (PUSP-C). Da PUSP-C, uma empresa especializada realiza o tratamento e destinação ambientalmente adequada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f79646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365f91"/>
          <w:sz w:val="22"/>
          <w:szCs w:val="22"/>
          <w:u w:val="none"/>
          <w:shd w:fill="auto" w:val="clear"/>
          <w:vertAlign w:val="baseline"/>
          <w:rtl w:val="0"/>
        </w:rPr>
        <w:t xml:space="preserve">IMPORTANTE: este tipo de resíduo gera ônus financeiro ao Departamento gerador, o qual necessita fazer transposição orçamentária pela quantidade gerada, seja a unidade de lâmpada descontaminada ou quilos de lâmpadas quebradas.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f79646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2363470</wp:posOffset>
            </wp:positionH>
            <wp:positionV relativeFrom="paragraph">
              <wp:posOffset>81915</wp:posOffset>
            </wp:positionV>
            <wp:extent cx="1264920" cy="847090"/>
            <wp:effectExtent b="28575" l="28575" r="28575" t="28575"/>
            <wp:wrapSquare wrapText="bothSides" distB="0" distT="0" distL="114300" distR="114300"/>
            <wp:docPr id="16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847090"/>
                    </a:xfrm>
                    <a:prstGeom prst="rect"/>
                    <a:ln w="285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00" w:line="276" w:lineRule="auto"/>
        <w:ind w:left="340.00000000000006" w:firstLine="720"/>
        <w:contextualSpacing w:val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As lâmpadas contendo mercúrio geradas pela Escola Politécnica são temporariamente armazenadas nesses coletores localizados em cada prédio. Quando atingem cerca de 80% da sua capacidade total, a equipe de Manutenção Predial é acionada para efetivar o recolhimento das lâmpadas e os seguintes procedimentos são seguidos: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200" w:line="276" w:lineRule="auto"/>
        <w:ind w:left="1440" w:hanging="360"/>
        <w:contextualSpacing w:val="1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as lâmpadas geradas por todos os prédios são direcionadas para o Setor de Manutenção;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200" w:line="276" w:lineRule="auto"/>
        <w:ind w:left="1440" w:hanging="360"/>
        <w:contextualSpacing w:val="1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a equipe quantifica as lâmpadas por Departamento gerador e as acondiciona em caixas de papelão, 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200" w:line="276" w:lineRule="auto"/>
        <w:ind w:left="1440" w:hanging="360"/>
        <w:contextualSpacing w:val="1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as lâmpadas são direcionadas ao Galpão de Resíduos da Prefeitura do </w:t>
      </w: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Campus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USP da Capital (PUSP-C) com a entrega do Manifesto de Transporte de Resíduos, assim como com a transposição orçamentária de cada Departamento da Poli pela quantidade gerada de lâmpada descartada,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200" w:line="276" w:lineRule="auto"/>
        <w:ind w:left="1440" w:hanging="360"/>
        <w:contextualSpacing w:val="1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uma empresa especializada na reciclagem de lâmpadas fluorescentes com descontaminação de mercúrio retira o resíduo da PUSP-C. </w:t>
        <w:br w:type="textWrapping"/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92" w:right="0" w:hanging="432"/>
        <w:contextualSpacing w:val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Pilhas e Baterias 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36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Descartar nos coletores instalados na portaria dos prédios da EP.</w:t>
      </w:r>
    </w:p>
    <w:p w:rsidR="00000000" w:rsidDel="00000000" w:rsidP="00000000" w:rsidRDefault="00000000" w:rsidRPr="00000000" w14:paraId="0000002B">
      <w:pPr>
        <w:ind w:left="360" w:firstLine="0"/>
        <w:contextualSpacing w:val="0"/>
        <w:jc w:val="center"/>
        <w:rPr>
          <w:rFonts w:ascii="Tahoma" w:cs="Tahoma" w:eastAsia="Tahoma" w:hAnsi="Tahoma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</w:rPr>
        <w:drawing>
          <wp:inline distB="0" distT="0" distL="0" distR="0">
            <wp:extent cx="4364308" cy="1976831"/>
            <wp:effectExtent b="0" l="0" r="0" t="0"/>
            <wp:docPr id="14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13"/>
                    <a:srcRect b="18615" l="6981" r="13260" t="33216"/>
                    <a:stretch>
                      <a:fillRect/>
                    </a:stretch>
                  </pic:blipFill>
                  <pic:spPr>
                    <a:xfrm>
                      <a:off x="0" y="0"/>
                      <a:ext cx="4364308" cy="19768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2"/>
        <w:keepNext w:val="0"/>
        <w:keepLines w:val="0"/>
        <w:shd w:fill="ffffff" w:val="clear"/>
        <w:spacing w:after="0" w:before="150" w:line="360" w:lineRule="auto"/>
        <w:ind w:left="340.00000000000006" w:firstLine="420.00000000000006"/>
        <w:contextualSpacing w:val="0"/>
        <w:jc w:val="both"/>
        <w:rPr>
          <w:rFonts w:ascii="Arial" w:cs="Arial" w:eastAsia="Arial" w:hAnsi="Arial"/>
          <w:b w:val="0"/>
          <w:sz w:val="24"/>
          <w:szCs w:val="24"/>
          <w:highlight w:val="white"/>
        </w:rPr>
      </w:pPr>
      <w:bookmarkStart w:colFirst="0" w:colLast="0" w:name="_tzy0ghe589ry" w:id="1"/>
      <w:bookmarkEnd w:id="1"/>
      <w:r w:rsidDel="00000000" w:rsidR="00000000" w:rsidRPr="00000000">
        <w:rPr>
          <w:rFonts w:ascii="Arial" w:cs="Arial" w:eastAsia="Arial" w:hAnsi="Arial"/>
          <w:b w:val="0"/>
          <w:sz w:val="24"/>
          <w:szCs w:val="24"/>
          <w:highlight w:val="white"/>
          <w:rtl w:val="0"/>
        </w:rPr>
        <w:t xml:space="preserve">De acordo com a NBR 10.004, as pilhas e baterias apresentam características de corrosividade, reatividade e toxicidade. Em atendimento à Política Nacional de Resíduos Sólidos (PNRS), no tocante à Logística Reversa, e a Resolução CONAMA 401/2008, a coleta na Prefeitura do Campus USP da Capital (PUSP-C) é realizada gratuitamente pelo Programa ABINEE Recebe Pilhas. Desta forma a coleta de pilhas e baterias integra o gerenciamento de resíduos pelo Poli Recicla, assim como as orientações adequadas no manejo e descarte deste resíduo perigoso na Escola Politécnica. As pilhas e baterias geradas são acondicionadas em coletores específicos que se localizam na entrada de cada prédio da Poli. Quando estes coletores atingem em média 80% da sua capacidade limite, a equipe de Manutenção Predial é acionada para efetivar o recolhimento das pilhas e baterias e os seguintes procedimentos são seguidos:</w:t>
      </w:r>
    </w:p>
    <w:p w:rsidR="00000000" w:rsidDel="00000000" w:rsidP="00000000" w:rsidRDefault="00000000" w:rsidRPr="00000000" w14:paraId="0000002D">
      <w:pPr>
        <w:pStyle w:val="Heading2"/>
        <w:keepNext w:val="0"/>
        <w:keepLines w:val="0"/>
        <w:shd w:fill="ffffff" w:val="clear"/>
        <w:spacing w:after="0" w:before="150" w:line="360" w:lineRule="auto"/>
        <w:ind w:firstLine="720"/>
        <w:contextualSpacing w:val="0"/>
        <w:jc w:val="both"/>
        <w:rPr>
          <w:rFonts w:ascii="Arial" w:cs="Arial" w:eastAsia="Arial" w:hAnsi="Arial"/>
          <w:b w:val="0"/>
          <w:sz w:val="24"/>
          <w:szCs w:val="24"/>
          <w:highlight w:val="white"/>
        </w:rPr>
      </w:pPr>
      <w:bookmarkStart w:colFirst="0" w:colLast="0" w:name="_y2gzul168aeh" w:id="2"/>
      <w:bookmarkEnd w:id="2"/>
      <w:r w:rsidDel="00000000" w:rsidR="00000000" w:rsidRPr="00000000">
        <w:rPr>
          <w:rFonts w:ascii="Arial" w:cs="Arial" w:eastAsia="Arial" w:hAnsi="Arial"/>
          <w:b w:val="0"/>
          <w:sz w:val="24"/>
          <w:szCs w:val="24"/>
          <w:highlight w:val="white"/>
          <w:rtl w:val="0"/>
        </w:rPr>
        <w:t xml:space="preserve">1. Acondicionamento das pilhas e baterias em caixas de papelão;</w:t>
      </w:r>
    </w:p>
    <w:p w:rsidR="00000000" w:rsidDel="00000000" w:rsidP="00000000" w:rsidRDefault="00000000" w:rsidRPr="00000000" w14:paraId="0000002E">
      <w:pPr>
        <w:pStyle w:val="Heading2"/>
        <w:keepNext w:val="0"/>
        <w:keepLines w:val="0"/>
        <w:shd w:fill="ffffff" w:val="clear"/>
        <w:spacing w:after="0" w:before="150" w:line="360" w:lineRule="auto"/>
        <w:ind w:left="720" w:firstLine="720"/>
        <w:contextualSpacing w:val="0"/>
        <w:jc w:val="both"/>
        <w:rPr>
          <w:rFonts w:ascii="Arial" w:cs="Arial" w:eastAsia="Arial" w:hAnsi="Arial"/>
          <w:b w:val="0"/>
          <w:sz w:val="24"/>
          <w:szCs w:val="24"/>
          <w:highlight w:val="white"/>
        </w:rPr>
      </w:pPr>
      <w:bookmarkStart w:colFirst="0" w:colLast="0" w:name="_y2gzul168aeh" w:id="2"/>
      <w:bookmarkEnd w:id="2"/>
      <w:r w:rsidDel="00000000" w:rsidR="00000000" w:rsidRPr="00000000">
        <w:rPr>
          <w:rFonts w:ascii="Arial" w:cs="Arial" w:eastAsia="Arial" w:hAnsi="Arial"/>
          <w:b w:val="0"/>
          <w:sz w:val="24"/>
          <w:szCs w:val="24"/>
          <w:highlight w:val="white"/>
          <w:rtl w:val="0"/>
        </w:rPr>
        <w:t xml:space="preserve">1.1 As caixas não podem ultrapassar o peso de 15 Kg;</w:t>
      </w:r>
    </w:p>
    <w:p w:rsidR="00000000" w:rsidDel="00000000" w:rsidP="00000000" w:rsidRDefault="00000000" w:rsidRPr="00000000" w14:paraId="0000002F">
      <w:pPr>
        <w:pStyle w:val="Heading2"/>
        <w:keepNext w:val="0"/>
        <w:keepLines w:val="0"/>
        <w:shd w:fill="ffffff" w:val="clear"/>
        <w:spacing w:after="0" w:before="150" w:line="360" w:lineRule="auto"/>
        <w:ind w:firstLine="720"/>
        <w:contextualSpacing w:val="0"/>
        <w:jc w:val="both"/>
        <w:rPr>
          <w:rFonts w:ascii="Arial" w:cs="Arial" w:eastAsia="Arial" w:hAnsi="Arial"/>
          <w:b w:val="0"/>
          <w:sz w:val="24"/>
          <w:szCs w:val="24"/>
          <w:highlight w:val="white"/>
        </w:rPr>
      </w:pPr>
      <w:bookmarkStart w:colFirst="0" w:colLast="0" w:name="_y2gzul168aeh" w:id="2"/>
      <w:bookmarkEnd w:id="2"/>
      <w:r w:rsidDel="00000000" w:rsidR="00000000" w:rsidRPr="00000000">
        <w:rPr>
          <w:rFonts w:ascii="Arial" w:cs="Arial" w:eastAsia="Arial" w:hAnsi="Arial"/>
          <w:b w:val="0"/>
          <w:sz w:val="24"/>
          <w:szCs w:val="24"/>
          <w:highlight w:val="white"/>
          <w:rtl w:val="0"/>
        </w:rPr>
        <w:t xml:space="preserve">2. Identificação das caixas com o rótulo (Figura 1);</w:t>
      </w:r>
    </w:p>
    <w:p w:rsidR="00000000" w:rsidDel="00000000" w:rsidP="00000000" w:rsidRDefault="00000000" w:rsidRPr="00000000" w14:paraId="00000030">
      <w:pPr>
        <w:pStyle w:val="Heading2"/>
        <w:keepNext w:val="0"/>
        <w:keepLines w:val="0"/>
        <w:shd w:fill="ffffff" w:val="clear"/>
        <w:spacing w:after="0" w:before="150" w:line="360" w:lineRule="auto"/>
        <w:ind w:left="700" w:firstLine="0"/>
        <w:contextualSpacing w:val="0"/>
        <w:jc w:val="both"/>
        <w:rPr>
          <w:sz w:val="24"/>
          <w:szCs w:val="24"/>
          <w:highlight w:val="white"/>
        </w:rPr>
      </w:pPr>
      <w:bookmarkStart w:colFirst="0" w:colLast="0" w:name="_ytv716dec503" w:id="3"/>
      <w:bookmarkEnd w:id="3"/>
      <w:r w:rsidDel="00000000" w:rsidR="00000000" w:rsidRPr="00000000">
        <w:rPr>
          <w:rFonts w:ascii="Arial" w:cs="Arial" w:eastAsia="Arial" w:hAnsi="Arial"/>
          <w:b w:val="0"/>
          <w:sz w:val="24"/>
          <w:szCs w:val="24"/>
          <w:highlight w:val="white"/>
          <w:rtl w:val="0"/>
        </w:rPr>
        <w:t xml:space="preserve">3. Preenchimento do Manifesto de Transporte de Resíduos em duas vias pelo Setor de Manutenção (uma via fica no Galpão de Resíduos da PUSP-C e a outra via fica com a Escola comprovando o descarte correto).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00" w:line="276" w:lineRule="auto"/>
        <w:ind w:left="340.00000000000006" w:firstLine="705"/>
        <w:contextualSpacing w:val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Posteriormente as pilhas são retiradas por uma empresa, as quais passam por um processo térmico para extrair o zinco, sendo utilizado como matéria-prima para fabricação de outros produtos. Enquanto que as baterias são encaminhadas à recicladoras, as quais passam por processo químico para extração dos compostos que possam ser reutilizados.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92" w:right="0" w:hanging="432"/>
        <w:contextualSpacing w:val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Resíduos Químicos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360"/>
        <w:contextualSpacing w:val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365f9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geradores de produtos químicos devem etiquetar corretamente o resíduo, quantitativamente e qualitativamente, e informar ao Poli Recicla para posterior retirada do material gerado.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365f91"/>
          <w:sz w:val="22"/>
          <w:szCs w:val="22"/>
          <w:u w:val="none"/>
          <w:shd w:fill="auto" w:val="clear"/>
          <w:vertAlign w:val="baseline"/>
          <w:rtl w:val="0"/>
        </w:rPr>
        <w:t xml:space="preserve">IMPORTANTE: este tipo de resíduo gera ônus financeiro ao Departamento gerador, o qual necessita fazer transposição orçamentária pela quantidade gerada.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ATENÇÃO: também entram nessa categoria as embalagens dessas substâncias.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970587" cy="3159984"/>
            <wp:effectExtent b="0" l="0" r="0" t="0"/>
            <wp:docPr id="10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14"/>
                    <a:srcRect b="12378" l="0" r="0" t="2947"/>
                    <a:stretch>
                      <a:fillRect/>
                    </a:stretch>
                  </pic:blipFill>
                  <pic:spPr>
                    <a:xfrm>
                      <a:off x="0" y="0"/>
                      <a:ext cx="4970587" cy="31599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00" w:line="276" w:lineRule="auto"/>
        <w:ind w:left="340.00000000000006" w:firstLine="420.00000000000006"/>
        <w:contextualSpacing w:val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Existem quatro procedimentos principais que devem ser realizados para a gestão adequada de resíduos químicos. </w:t>
        <w:br w:type="textWrapping"/>
        <w:tab/>
        <w:t xml:space="preserve">Em primeiro lugar, vem a segregação dos resíduos de acordo com a classe a que pertencem, evitando, sempre que possível, misturar com outras substâncias. Caso seja inevitável  a mistura, então deve-se tomar todo o cuidado para não ocorrer mistura de substâncias incompatíveis. </w:t>
        <w:br w:type="textWrapping"/>
        <w:tab/>
        <w:t xml:space="preserve">O próximo procedimento é o acondicionamento e o armazenamento. Esse processo exige, simplesmente, atenção para qual o material do coletor que está sendo usado. Normalmente, pode-se utilizar frascos de polietileno, metal e vidro. Também devem ser tomados alguns cuidados adicionais, especialmente o de não colocar materiais corrosivos em recipiente de metal e, no caso de resíduos líquidos, não encher o recipiente até o topo. </w:t>
        <w:br w:type="textWrapping"/>
        <w:tab/>
        <w:t xml:space="preserve">O terceiro procedimento é de rotulação dos recipientes. Deve-se, ao menos, informar os conteúdos principais de cada recipiente e os tipos de perigo envolvidos com aquela substância. Essas informações, além de informar quais cuidados devem ser tomados ao trabalhar com o conteúdo do recipiente, também ajudam no encaminhamento do resíduo para destinação final. Além das informações básicas, também é recomendável adicionar diagramas (como o NFPA 704) que são usados por brigadas de emergência em casos de vazamento e outros acidentes. </w:t>
        <w:br w:type="textWrapping"/>
        <w:tab/>
        <w:t xml:space="preserve">Por fim, o último passo é o encaminhamento dos resíduos para destinação final realizado por uma empresa habilitada. As destinações finais variam dependendo do tipo de resíduo. Incluem reúso, tratamento, descarte ou recuperação. 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both"/>
        <w:rPr>
          <w:rFonts w:ascii="Tahoma" w:cs="Tahoma" w:eastAsia="Tahoma" w:hAnsi="Tahoma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Bitucas de cigarro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5838825</wp:posOffset>
            </wp:positionH>
            <wp:positionV relativeFrom="paragraph">
              <wp:posOffset>57150</wp:posOffset>
            </wp:positionV>
            <wp:extent cx="730250" cy="1104265"/>
            <wp:effectExtent b="28575" l="28575" r="28575" t="28575"/>
            <wp:wrapSquare wrapText="bothSides" distB="0" distT="0" distL="114300" distR="114300"/>
            <wp:docPr descr="https://lh5.googleusercontent.com/T0R4p34i7-rXemaW2SHL5XY0-Rw-9pOLWPlu4T5-js4lrLcszYEQ0AoaeKJKZGSEcMxVM1OmLM8rFjgBCW0VDa17g0ygJQ4MVV9_olyCY2bHMSkakMuYLZ6emBjq_A-O2gROfebT" id="15" name="image31.jpg"/>
            <a:graphic>
              <a:graphicData uri="http://schemas.openxmlformats.org/drawingml/2006/picture">
                <pic:pic>
                  <pic:nvPicPr>
                    <pic:cNvPr descr="https://lh5.googleusercontent.com/T0R4p34i7-rXemaW2SHL5XY0-Rw-9pOLWPlu4T5-js4lrLcszYEQ0AoaeKJKZGSEcMxVM1OmLM8rFjgBCW0VDa17g0ygJQ4MVV9_olyCY2bHMSkakMuYLZ6emBjq_A-O2gROfebT" id="0" name="image3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1104265"/>
                    </a:xfrm>
                    <a:prstGeom prst="rect"/>
                    <a:ln w="285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 descarte d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eve ser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feito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nas caixas coletoras de bitucas de cigarro, em geral localizadas nas entradas, distribuídas nos prédios da EP.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ahoma" w:cs="Tahoma" w:eastAsia="Tahoma" w:hAnsi="Tahoma"/>
          <w:b w:val="1"/>
          <w:i w:val="0"/>
          <w:smallCaps w:val="0"/>
          <w:strike w:val="0"/>
          <w:color w:val="4a86e8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365f91"/>
          <w:sz w:val="22"/>
          <w:szCs w:val="22"/>
          <w:u w:val="single"/>
          <w:shd w:fill="auto" w:val="clear"/>
          <w:vertAlign w:val="baseline"/>
          <w:rtl w:val="0"/>
        </w:rPr>
        <w:t xml:space="preserve">Lei 13.541/2009: Proibido fumar em recintos total ou parcialmente fechado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4a86e8"/>
          <w:sz w:val="22"/>
          <w:szCs w:val="22"/>
          <w:u w:val="single"/>
          <w:shd w:fill="auto" w:val="clear"/>
          <w:vertAlign w:val="baseline"/>
          <w:rtl w:val="0"/>
        </w:rPr>
        <w:t xml:space="preserve">s.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f79646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both"/>
        <w:rPr>
          <w:rFonts w:ascii="Tahoma" w:cs="Tahoma" w:eastAsia="Tahoma" w:hAnsi="Tahoma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Resíduos Inservíveis (móveis e madeiras em desuso, pallets, entre outros)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Estes resíduos devem ser descartados na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Campanha Cata Bagulho ou em caçambas contratad</w:t>
      </w:r>
      <w:r w:rsidDel="00000000" w:rsidR="00000000" w:rsidRPr="00000000">
        <w:rPr>
          <w:rFonts w:ascii="Tahoma" w:cs="Tahoma" w:eastAsia="Tahoma" w:hAnsi="Tahoma"/>
          <w:rtl w:val="0"/>
        </w:rPr>
        <w:t xml:space="preserve">as pelos departamentos dos prédios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que ocorre duas vezes ao ano, sendo no início do primeiro e no fim do segundo semestre. Contatar o Poli Recicla para se informar quando ocorrerá a próxima.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both"/>
        <w:rPr>
          <w:rFonts w:ascii="Tahoma" w:cs="Tahoma" w:eastAsia="Tahoma" w:hAnsi="Tahoma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Resíduos de Construção Civil (entulho)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 prestador de serviço deve obrigatoriamente providenciar as caçambas antes do início das obras, evitando acúmulo de resíduos de construção em locais inadequados. As caçambas não podem ser alocadas nas calçadas.</w:t>
      </w:r>
    </w:p>
    <w:p w:rsidR="00000000" w:rsidDel="00000000" w:rsidP="00000000" w:rsidRDefault="00000000" w:rsidRPr="00000000" w14:paraId="00000048">
      <w:pPr>
        <w:shd w:fill="ffffff" w:val="clear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É de responsabilidade do prestador de serviço contratado a disposição final dos resíduos gerados na obra após seu término, não devendo ser armazenados na Escola ao final nem endereçados ao serviço de limpeza.</w:t>
      </w:r>
    </w:p>
    <w:p w:rsidR="00000000" w:rsidDel="00000000" w:rsidP="00000000" w:rsidRDefault="00000000" w:rsidRPr="00000000" w14:paraId="0000004A">
      <w:pPr>
        <w:shd w:fill="ffffff" w:val="clear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both"/>
        <w:rPr>
          <w:rFonts w:ascii="Tahoma" w:cs="Tahoma" w:eastAsia="Tahoma" w:hAnsi="Tahoma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Equipamentos Eletroeletrônicos</w:t>
      </w:r>
    </w:p>
    <w:p w:rsidR="00000000" w:rsidDel="00000000" w:rsidP="00000000" w:rsidRDefault="00000000" w:rsidRPr="00000000" w14:paraId="0000004D">
      <w:pPr>
        <w:shd w:fill="ffffff" w:val="clear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 descarte deve ser feito no CEDIR (Centro de Descarte e Reúso de Resíduos de Informática). Enviar e-mail para o </w:t>
      </w:r>
      <w:hyperlink r:id="rId16">
        <w:r w:rsidDel="00000000" w:rsidR="00000000" w:rsidRPr="00000000">
          <w:rPr>
            <w:rFonts w:ascii="Tahoma" w:cs="Tahoma" w:eastAsia="Tahoma" w:hAnsi="Tahoma"/>
            <w:color w:val="0000ff"/>
            <w:u w:val="single"/>
            <w:rtl w:val="0"/>
          </w:rPr>
          <w:t xml:space="preserve">cedir@usp.br</w:t>
        </w:r>
      </w:hyperlink>
      <w:r w:rsidDel="00000000" w:rsidR="00000000" w:rsidRPr="00000000">
        <w:rPr>
          <w:rFonts w:ascii="Tahoma" w:cs="Tahoma" w:eastAsia="Tahoma" w:hAnsi="Tahoma"/>
          <w:rtl w:val="0"/>
        </w:rPr>
        <w:t xml:space="preserve">, com cópia para o Poli Recicla, para agendar data de entrega. Na data agendada, entregar documento expedido pelo setor de patrimônio, relatando a baixa patrimonial junto com o material de descarte (havendo algum material ativo no sistema, a carga não será recebida). Se este material não for patrimoniado, tem que ter autorização do Chefe de Departamento para o descarte. O acondicionamento de periféricos (cabo, mouse, teclado, telefonia, etc) deve ser em caixa de papelão ou saco de ráfia (em bom estado), e os segregados separados por tipo (ex.: computadores, impressoras, monitores etc.). No momento de entrega, os equipamentos devem ser separados por tipo, de forma organizada dentro do veículo. </w:t>
      </w:r>
    </w:p>
    <w:p w:rsidR="00000000" w:rsidDel="00000000" w:rsidP="00000000" w:rsidRDefault="00000000" w:rsidRPr="00000000" w14:paraId="0000004F">
      <w:pPr>
        <w:shd w:fill="ffffff" w:val="clear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É obrigatória a presença de ajudantes para descarregar a carga. </w:t>
      </w:r>
    </w:p>
    <w:p w:rsidR="00000000" w:rsidDel="00000000" w:rsidP="00000000" w:rsidRDefault="00000000" w:rsidRPr="00000000" w14:paraId="00000050">
      <w:pPr>
        <w:shd w:fill="ffffff" w:val="clear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center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875514" cy="1597651"/>
            <wp:effectExtent b="0" l="0" r="0" t="0"/>
            <wp:docPr id="13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7"/>
                    <a:srcRect b="61070" l="7275" r="4017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5514" cy="15976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92" w:right="0" w:hanging="432"/>
        <w:contextualSpacing w:val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Toners e Cartuchos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36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Contatar o Poli Recicla no primeiro dia útil do mês, sempre que tiver unidades de toners/cartuchos para retirada, que ocorre até o dia 15 do mesmo mês. No caso de: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24" w:right="0" w:hanging="504.00000000000006"/>
        <w:contextualSpacing w:val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Assistências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Encaminhar os toners/cartuchos usados para a pessoa indicada pelo (a) Assistente representante de sua área.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24" w:right="0" w:hanging="504.00000000000006"/>
        <w:contextualSpacing w:val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Secretários (as) de Departamento 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Encaminhar os toners/cartuchos usados para o (a) secretário (a) representante do seu Departamento.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24" w:right="0" w:hanging="504.00000000000006"/>
        <w:contextualSpacing w:val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Bibliotecas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348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Encaminhar os toners/cartuchos usados para a Biblioteca central.</w:t>
      </w:r>
    </w:p>
    <w:p w:rsidR="00000000" w:rsidDel="00000000" w:rsidP="00000000" w:rsidRDefault="00000000" w:rsidRPr="00000000" w14:paraId="0000005C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contextualSpacing w:val="0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</w:rPr>
        <w:drawing>
          <wp:inline distB="0" distT="0" distL="0" distR="0">
            <wp:extent cx="5417011" cy="2683192"/>
            <wp:effectExtent b="0" l="0" r="0" t="0"/>
            <wp:docPr id="11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7011" cy="26831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200" w:line="276" w:lineRule="auto"/>
        <w:ind w:left="720" w:firstLine="72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Toners  e cartuchos usados na  Escola Politécnica são recolhidos nos prédios mensalmente pelo Poli Recicla e armazenados temporariamente no prédio CTCC. Periodicamente, os cartuchos são retirados por uma cooperativa cadastrada pela prefeitura municipal, que faz o tratamento e destinação final desses resíduos. Na cooperativa, o os cartuchos originais vazios passam por procedimentos de testes, lavagem e recarga, até terem desempenho similares ao produto novo de fábrica. Os cartuchos reciclados são, então, comercializados à um preço inferior ao produto no primeiro ciclo. Cartuchos e toners podem ser recarregados dezenas de vezes sem perda da qualidade e sem risco para as impressoras.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contextualSpacing w:val="0"/>
        <w:jc w:val="center"/>
        <w:rPr>
          <w:rFonts w:ascii="Tahoma" w:cs="Tahoma" w:eastAsia="Tahoma" w:hAnsi="Tahoma"/>
          <w:b w:val="1"/>
          <w:color w:val="36609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contextualSpacing w:val="0"/>
        <w:jc w:val="center"/>
        <w:rPr>
          <w:rFonts w:ascii="Tahoma" w:cs="Tahoma" w:eastAsia="Tahoma" w:hAnsi="Tahoma"/>
          <w:b w:val="1"/>
          <w:color w:val="36609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contextualSpacing w:val="0"/>
        <w:jc w:val="center"/>
        <w:rPr>
          <w:rFonts w:ascii="Tahoma" w:cs="Tahoma" w:eastAsia="Tahoma" w:hAnsi="Tahoma"/>
          <w:b w:val="1"/>
          <w:color w:val="366091"/>
        </w:rPr>
      </w:pPr>
      <w:r w:rsidDel="00000000" w:rsidR="00000000" w:rsidRPr="00000000">
        <w:rPr>
          <w:rFonts w:ascii="Tahoma" w:cs="Tahoma" w:eastAsia="Tahoma" w:hAnsi="Tahoma"/>
          <w:b w:val="1"/>
          <w:color w:val="366091"/>
          <w:rtl w:val="0"/>
        </w:rPr>
        <w:t xml:space="preserve">ANEXO I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30.0" w:type="dxa"/>
        <w:jc w:val="center"/>
        <w:tblBorders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630"/>
        <w:gridCol w:w="2630"/>
        <w:gridCol w:w="5070"/>
        <w:tblGridChange w:id="0">
          <w:tblGrid>
            <w:gridCol w:w="2630"/>
            <w:gridCol w:w="2630"/>
            <w:gridCol w:w="5070"/>
          </w:tblGrid>
        </w:tblGridChange>
      </w:tblGrid>
      <w:tr>
        <w:trPr>
          <w:trHeight w:val="100" w:hRule="atLeast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2.0" w:type="dxa"/>
              <w:left w:w="12.0" w:type="dxa"/>
              <w:bottom w:w="0.0" w:type="dxa"/>
              <w:right w:w="12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contextualSpacing w:val="0"/>
              <w:jc w:val="center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PLÁSTICO</w:t>
            </w:r>
          </w:p>
        </w:tc>
      </w:tr>
      <w:tr>
        <w:trPr>
          <w:trHeight w:val="20" w:hRule="atLeast"/>
        </w:trPr>
        <w:tc>
          <w:tcPr>
            <w:gridSpan w:val="2"/>
            <w:tcBorders>
              <w:top w:color="000000" w:space="0" w:sz="8" w:val="single"/>
            </w:tcBorders>
            <w:shd w:fill="auto" w:val="clear"/>
            <w:tcMar>
              <w:top w:w="12.0" w:type="dxa"/>
              <w:left w:w="12.0" w:type="dxa"/>
              <w:bottom w:w="0.0" w:type="dxa"/>
              <w:right w:w="12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contextualSpacing w:val="0"/>
              <w:jc w:val="center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Reciclável</w:t>
            </w:r>
          </w:p>
          <w:p w:rsidR="00000000" w:rsidDel="00000000" w:rsidP="00000000" w:rsidRDefault="00000000" w:rsidRPr="00000000" w14:paraId="00000067">
            <w:pPr>
              <w:ind w:left="142" w:firstLine="0"/>
              <w:contextualSpacing w:val="0"/>
              <w:jc w:val="center"/>
              <w:rPr>
                <w:rFonts w:ascii="Tahoma" w:cs="Tahoma" w:eastAsia="Tahoma" w:hAnsi="Tahoma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18"/>
                <w:szCs w:val="18"/>
                <w:rtl w:val="0"/>
              </w:rPr>
              <w:t xml:space="preserve">Preferencialmente limpos.</w:t>
            </w:r>
          </w:p>
        </w:tc>
        <w:tc>
          <w:tcPr>
            <w:tcBorders>
              <w:top w:color="000000" w:space="0" w:sz="8" w:val="single"/>
            </w:tcBorders>
            <w:shd w:fill="c0c0c0" w:val="clear"/>
            <w:tcMar>
              <w:top w:w="12.0" w:type="dxa"/>
              <w:left w:w="12.0" w:type="dxa"/>
              <w:bottom w:w="0.0" w:type="dxa"/>
              <w:right w:w="12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contextualSpacing w:val="0"/>
              <w:jc w:val="center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Não Reciclável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8" w:val="single"/>
            </w:tcBorders>
            <w:shd w:fill="auto" w:val="clear"/>
            <w:tcMar>
              <w:top w:w="12.0" w:type="dxa"/>
              <w:left w:w="12.0" w:type="dxa"/>
              <w:bottom w:w="0.0" w:type="dxa"/>
              <w:right w:w="12.0" w:type="dxa"/>
            </w:tcMar>
          </w:tcPr>
          <w:p w:rsidR="00000000" w:rsidDel="00000000" w:rsidP="00000000" w:rsidRDefault="00000000" w:rsidRPr="00000000" w14:paraId="0000006A">
            <w:pPr>
              <w:ind w:left="142" w:right="-15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Copo descartável</w:t>
            </w:r>
          </w:p>
          <w:p w:rsidR="00000000" w:rsidDel="00000000" w:rsidP="00000000" w:rsidRDefault="00000000" w:rsidRPr="00000000" w14:paraId="0000006B">
            <w:pPr>
              <w:ind w:left="142" w:right="-15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Garrafa</w:t>
            </w:r>
          </w:p>
          <w:p w:rsidR="00000000" w:rsidDel="00000000" w:rsidP="00000000" w:rsidRDefault="00000000" w:rsidRPr="00000000" w14:paraId="0000006C">
            <w:pPr>
              <w:ind w:left="142" w:right="-15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Sacos/ Sacolas</w:t>
            </w:r>
          </w:p>
          <w:p w:rsidR="00000000" w:rsidDel="00000000" w:rsidP="00000000" w:rsidRDefault="00000000" w:rsidRPr="00000000" w14:paraId="0000006D">
            <w:pPr>
              <w:ind w:left="142" w:right="-15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Frasco de produto (alimento, limpeza, etc)</w:t>
            </w:r>
          </w:p>
          <w:p w:rsidR="00000000" w:rsidDel="00000000" w:rsidP="00000000" w:rsidRDefault="00000000" w:rsidRPr="00000000" w14:paraId="0000006E">
            <w:pPr>
              <w:ind w:left="142" w:right="-15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Brinquedo</w:t>
            </w:r>
          </w:p>
          <w:p w:rsidR="00000000" w:rsidDel="00000000" w:rsidP="00000000" w:rsidRDefault="00000000" w:rsidRPr="00000000" w14:paraId="0000006F">
            <w:pPr>
              <w:ind w:left="142" w:right="-15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Balde</w:t>
            </w:r>
          </w:p>
        </w:tc>
        <w:tc>
          <w:tcPr>
            <w:tcBorders>
              <w:top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70">
            <w:pPr>
              <w:ind w:left="142" w:right="-15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Tampa</w:t>
            </w:r>
          </w:p>
          <w:p w:rsidR="00000000" w:rsidDel="00000000" w:rsidP="00000000" w:rsidRDefault="00000000" w:rsidRPr="00000000" w14:paraId="00000071">
            <w:pPr>
              <w:ind w:left="142" w:right="-15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Plásticos em Geral</w:t>
            </w:r>
          </w:p>
          <w:p w:rsidR="00000000" w:rsidDel="00000000" w:rsidP="00000000" w:rsidRDefault="00000000" w:rsidRPr="00000000" w14:paraId="00000072">
            <w:pPr>
              <w:ind w:left="142" w:right="-15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Pote</w:t>
            </w:r>
          </w:p>
          <w:p w:rsidR="00000000" w:rsidDel="00000000" w:rsidP="00000000" w:rsidRDefault="00000000" w:rsidRPr="00000000" w14:paraId="00000073">
            <w:pPr>
              <w:ind w:left="142" w:right="-15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Cano e Tubo de PVC</w:t>
            </w:r>
          </w:p>
          <w:p w:rsidR="00000000" w:rsidDel="00000000" w:rsidP="00000000" w:rsidRDefault="00000000" w:rsidRPr="00000000" w14:paraId="00000074">
            <w:pPr>
              <w:ind w:left="142" w:right="-15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Embalagem Pet </w:t>
            </w:r>
          </w:p>
          <w:p w:rsidR="00000000" w:rsidDel="00000000" w:rsidP="00000000" w:rsidRDefault="00000000" w:rsidRPr="00000000" w14:paraId="00000075">
            <w:pPr>
              <w:ind w:left="142" w:right="-152" w:firstLine="0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(Refrigerantes, Suco, Óleo, </w:t>
            </w:r>
          </w:p>
          <w:p w:rsidR="00000000" w:rsidDel="00000000" w:rsidP="00000000" w:rsidRDefault="00000000" w:rsidRPr="00000000" w14:paraId="00000076">
            <w:pPr>
              <w:ind w:left="142" w:right="-15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etc.)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  <w:shd w:fill="c0c0c0" w:val="clear"/>
            <w:tcMar>
              <w:top w:w="12.0" w:type="dxa"/>
              <w:left w:w="12.0" w:type="dxa"/>
              <w:bottom w:w="0.0" w:type="dxa"/>
              <w:right w:w="12.0" w:type="dxa"/>
            </w:tcMar>
          </w:tcPr>
          <w:p w:rsidR="00000000" w:rsidDel="00000000" w:rsidP="00000000" w:rsidRDefault="00000000" w:rsidRPr="00000000" w14:paraId="00000077">
            <w:pPr>
              <w:ind w:left="142" w:right="-15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Cabo de Panela</w:t>
            </w:r>
          </w:p>
          <w:p w:rsidR="00000000" w:rsidDel="00000000" w:rsidP="00000000" w:rsidRDefault="00000000" w:rsidRPr="00000000" w14:paraId="00000078">
            <w:pPr>
              <w:ind w:left="142" w:right="-15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Adesivo</w:t>
            </w:r>
          </w:p>
          <w:p w:rsidR="00000000" w:rsidDel="00000000" w:rsidP="00000000" w:rsidRDefault="00000000" w:rsidRPr="00000000" w14:paraId="00000079">
            <w:pPr>
              <w:ind w:left="142" w:right="-15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Acrílico</w:t>
            </w:r>
          </w:p>
          <w:p w:rsidR="00000000" w:rsidDel="00000000" w:rsidP="00000000" w:rsidRDefault="00000000" w:rsidRPr="00000000" w14:paraId="0000007A">
            <w:pPr>
              <w:ind w:left="142" w:right="-15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Raio-x</w:t>
            </w:r>
          </w:p>
        </w:tc>
      </w:tr>
    </w:tbl>
    <w:p w:rsidR="00000000" w:rsidDel="00000000" w:rsidP="00000000" w:rsidRDefault="00000000" w:rsidRPr="00000000" w14:paraId="0000007B">
      <w:pPr>
        <w:contextualSpacing w:val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330.0" w:type="dxa"/>
        <w:jc w:val="left"/>
        <w:tblInd w:w="0.0" w:type="dxa"/>
        <w:tblBorders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630"/>
        <w:gridCol w:w="2630"/>
        <w:gridCol w:w="5070"/>
        <w:tblGridChange w:id="0">
          <w:tblGrid>
            <w:gridCol w:w="2630"/>
            <w:gridCol w:w="2630"/>
            <w:gridCol w:w="5070"/>
          </w:tblGrid>
        </w:tblGridChange>
      </w:tblGrid>
      <w:tr>
        <w:trPr>
          <w:trHeight w:val="60" w:hRule="atLeast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2.0" w:type="dxa"/>
              <w:left w:w="12.0" w:type="dxa"/>
              <w:bottom w:w="0.0" w:type="dxa"/>
              <w:right w:w="12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contextualSpacing w:val="0"/>
              <w:jc w:val="center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METAL</w:t>
            </w:r>
          </w:p>
        </w:tc>
      </w:tr>
      <w:tr>
        <w:trPr>
          <w:trHeight w:val="20" w:hRule="atLeast"/>
        </w:trPr>
        <w:tc>
          <w:tcPr>
            <w:gridSpan w:val="2"/>
            <w:shd w:fill="auto" w:val="clear"/>
            <w:tcMar>
              <w:top w:w="12.0" w:type="dxa"/>
              <w:left w:w="12.0" w:type="dxa"/>
              <w:bottom w:w="0.0" w:type="dxa"/>
              <w:right w:w="12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contextualSpacing w:val="0"/>
              <w:jc w:val="center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Reciclável</w:t>
            </w:r>
          </w:p>
        </w:tc>
        <w:tc>
          <w:tcPr>
            <w:shd w:fill="c0c0c0" w:val="clear"/>
            <w:tcMar>
              <w:top w:w="12.0" w:type="dxa"/>
              <w:left w:w="12.0" w:type="dxa"/>
              <w:bottom w:w="0.0" w:type="dxa"/>
              <w:right w:w="12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contextualSpacing w:val="0"/>
              <w:jc w:val="center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Não Reciclável</w:t>
            </w:r>
          </w:p>
        </w:tc>
      </w:tr>
      <w:tr>
        <w:trPr>
          <w:trHeight w:val="20" w:hRule="atLeast"/>
        </w:trPr>
        <w:tc>
          <w:tcPr>
            <w:shd w:fill="auto" w:val="clear"/>
            <w:tcMar>
              <w:top w:w="12.0" w:type="dxa"/>
              <w:left w:w="12.0" w:type="dxa"/>
              <w:bottom w:w="0.0" w:type="dxa"/>
              <w:right w:w="12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Tampinha de Garrafa</w:t>
            </w:r>
          </w:p>
          <w:p w:rsidR="00000000" w:rsidDel="00000000" w:rsidP="00000000" w:rsidRDefault="00000000" w:rsidRPr="00000000" w14:paraId="00000083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Lata de Alumínio e Aço</w:t>
            </w:r>
          </w:p>
          <w:p w:rsidR="00000000" w:rsidDel="00000000" w:rsidP="00000000" w:rsidRDefault="00000000" w:rsidRPr="00000000" w14:paraId="00000084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Enlatado</w:t>
            </w:r>
          </w:p>
          <w:p w:rsidR="00000000" w:rsidDel="00000000" w:rsidP="00000000" w:rsidRDefault="00000000" w:rsidRPr="00000000" w14:paraId="00000085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Panela sem cabo</w:t>
            </w:r>
          </w:p>
          <w:p w:rsidR="00000000" w:rsidDel="00000000" w:rsidP="00000000" w:rsidRDefault="00000000" w:rsidRPr="00000000" w14:paraId="00000086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Ferragem</w:t>
            </w:r>
          </w:p>
          <w:p w:rsidR="00000000" w:rsidDel="00000000" w:rsidP="00000000" w:rsidRDefault="00000000" w:rsidRPr="00000000" w14:paraId="00000087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Arame</w:t>
            </w:r>
          </w:p>
          <w:p w:rsidR="00000000" w:rsidDel="00000000" w:rsidP="00000000" w:rsidRDefault="00000000" w:rsidRPr="00000000" w14:paraId="00000088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Chapa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9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Cano</w:t>
            </w:r>
          </w:p>
          <w:p w:rsidR="00000000" w:rsidDel="00000000" w:rsidP="00000000" w:rsidRDefault="00000000" w:rsidRPr="00000000" w14:paraId="0000008A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Prego</w:t>
            </w:r>
          </w:p>
          <w:p w:rsidR="00000000" w:rsidDel="00000000" w:rsidP="00000000" w:rsidRDefault="00000000" w:rsidRPr="00000000" w14:paraId="0000008B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Marmitex (sem restos de comida)</w:t>
            </w:r>
          </w:p>
          <w:p w:rsidR="00000000" w:rsidDel="00000000" w:rsidP="00000000" w:rsidRDefault="00000000" w:rsidRPr="00000000" w14:paraId="0000008C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Chapa</w:t>
            </w:r>
          </w:p>
          <w:p w:rsidR="00000000" w:rsidDel="00000000" w:rsidP="00000000" w:rsidRDefault="00000000" w:rsidRPr="00000000" w14:paraId="0000008D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Cantoneira</w:t>
            </w:r>
          </w:p>
          <w:p w:rsidR="00000000" w:rsidDel="00000000" w:rsidP="00000000" w:rsidRDefault="00000000" w:rsidRPr="00000000" w14:paraId="0000008E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Cobre</w:t>
            </w:r>
          </w:p>
        </w:tc>
        <w:tc>
          <w:tcPr>
            <w:shd w:fill="c0c0c0" w:val="clear"/>
            <w:tcMar>
              <w:top w:w="12.0" w:type="dxa"/>
              <w:left w:w="12.0" w:type="dxa"/>
              <w:bottom w:w="0.0" w:type="dxa"/>
              <w:right w:w="12.0" w:type="dxa"/>
            </w:tcMar>
          </w:tcPr>
          <w:p w:rsidR="00000000" w:rsidDel="00000000" w:rsidP="00000000" w:rsidRDefault="00000000" w:rsidRPr="00000000" w14:paraId="0000008F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Esponja de Aço</w:t>
            </w:r>
          </w:p>
          <w:p w:rsidR="00000000" w:rsidDel="00000000" w:rsidP="00000000" w:rsidRDefault="00000000" w:rsidRPr="00000000" w14:paraId="00000090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Lata de Verniz</w:t>
            </w:r>
          </w:p>
          <w:p w:rsidR="00000000" w:rsidDel="00000000" w:rsidP="00000000" w:rsidRDefault="00000000" w:rsidRPr="00000000" w14:paraId="00000091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Lata de produto tóxico</w:t>
            </w:r>
          </w:p>
        </w:tc>
      </w:tr>
    </w:tbl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3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630"/>
        <w:gridCol w:w="2630"/>
        <w:gridCol w:w="2535"/>
        <w:gridCol w:w="2535"/>
        <w:tblGridChange w:id="0">
          <w:tblGrid>
            <w:gridCol w:w="2630"/>
            <w:gridCol w:w="2630"/>
            <w:gridCol w:w="2535"/>
            <w:gridCol w:w="2535"/>
          </w:tblGrid>
        </w:tblGridChange>
      </w:tblGrid>
      <w:tr>
        <w:trPr>
          <w:trHeight w:val="18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2.0" w:type="dxa"/>
              <w:left w:w="12.0" w:type="dxa"/>
              <w:bottom w:w="0.0" w:type="dxa"/>
              <w:right w:w="12.0" w:type="dxa"/>
            </w:tcMar>
          </w:tcPr>
          <w:p w:rsidR="00000000" w:rsidDel="00000000" w:rsidP="00000000" w:rsidRDefault="00000000" w:rsidRPr="00000000" w14:paraId="00000096">
            <w:pPr>
              <w:contextualSpacing w:val="0"/>
              <w:jc w:val="center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PAPEL</w:t>
            </w:r>
          </w:p>
        </w:tc>
      </w:tr>
      <w:tr>
        <w:trPr>
          <w:trHeight w:val="20" w:hRule="atLeast"/>
        </w:trPr>
        <w:tc>
          <w:tcPr>
            <w:gridSpan w:val="2"/>
            <w:shd w:fill="auto" w:val="clear"/>
            <w:tcMar>
              <w:top w:w="12.0" w:type="dxa"/>
              <w:left w:w="12.0" w:type="dxa"/>
              <w:bottom w:w="0.0" w:type="dxa"/>
              <w:right w:w="12.0" w:type="dxa"/>
            </w:tcMar>
          </w:tcPr>
          <w:p w:rsidR="00000000" w:rsidDel="00000000" w:rsidP="00000000" w:rsidRDefault="00000000" w:rsidRPr="00000000" w14:paraId="0000009A">
            <w:pPr>
              <w:contextualSpacing w:val="0"/>
              <w:jc w:val="center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Reciclável</w:t>
            </w:r>
          </w:p>
        </w:tc>
        <w:tc>
          <w:tcPr>
            <w:gridSpan w:val="2"/>
            <w:shd w:fill="c0c0c0" w:val="clear"/>
            <w:tcMar>
              <w:top w:w="12.0" w:type="dxa"/>
              <w:left w:w="12.0" w:type="dxa"/>
              <w:bottom w:w="0.0" w:type="dxa"/>
              <w:right w:w="12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contextualSpacing w:val="0"/>
              <w:jc w:val="center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Não Reciclável</w:t>
            </w:r>
          </w:p>
        </w:tc>
      </w:tr>
      <w:tr>
        <w:trPr>
          <w:trHeight w:val="260" w:hRule="atLeast"/>
        </w:trPr>
        <w:tc>
          <w:tcPr>
            <w:shd w:fill="auto" w:val="clear"/>
            <w:tcMar>
              <w:top w:w="12.0" w:type="dxa"/>
              <w:left w:w="12.0" w:type="dxa"/>
              <w:bottom w:w="0.0" w:type="dxa"/>
              <w:right w:w="12.0" w:type="dxa"/>
            </w:tcMar>
          </w:tcPr>
          <w:p w:rsidR="00000000" w:rsidDel="00000000" w:rsidP="00000000" w:rsidRDefault="00000000" w:rsidRPr="00000000" w14:paraId="0000009E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Jornal e Revista</w:t>
            </w:r>
          </w:p>
          <w:p w:rsidR="00000000" w:rsidDel="00000000" w:rsidP="00000000" w:rsidRDefault="00000000" w:rsidRPr="00000000" w14:paraId="0000009F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Papel Sulfite/Rascunho</w:t>
            </w:r>
          </w:p>
          <w:p w:rsidR="00000000" w:rsidDel="00000000" w:rsidP="00000000" w:rsidRDefault="00000000" w:rsidRPr="00000000" w14:paraId="000000A0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Tetra Pak</w:t>
            </w:r>
          </w:p>
          <w:p w:rsidR="00000000" w:rsidDel="00000000" w:rsidP="00000000" w:rsidRDefault="00000000" w:rsidRPr="00000000" w14:paraId="000000A1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Folhas de Caderno</w:t>
            </w:r>
          </w:p>
          <w:p w:rsidR="00000000" w:rsidDel="00000000" w:rsidP="00000000" w:rsidRDefault="00000000" w:rsidRPr="00000000" w14:paraId="000000A2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Papelão</w:t>
            </w:r>
          </w:p>
          <w:p w:rsidR="00000000" w:rsidDel="00000000" w:rsidP="00000000" w:rsidRDefault="00000000" w:rsidRPr="00000000" w14:paraId="000000A3">
            <w:pPr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4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Caixa em Geral</w:t>
            </w:r>
          </w:p>
          <w:p w:rsidR="00000000" w:rsidDel="00000000" w:rsidP="00000000" w:rsidRDefault="00000000" w:rsidRPr="00000000" w14:paraId="000000A5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Aparas de Papel</w:t>
            </w:r>
          </w:p>
          <w:p w:rsidR="00000000" w:rsidDel="00000000" w:rsidP="00000000" w:rsidRDefault="00000000" w:rsidRPr="00000000" w14:paraId="000000A6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Envelope</w:t>
            </w:r>
          </w:p>
          <w:p w:rsidR="00000000" w:rsidDel="00000000" w:rsidP="00000000" w:rsidRDefault="00000000" w:rsidRPr="00000000" w14:paraId="000000A7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Cartaz </w:t>
            </w:r>
          </w:p>
        </w:tc>
        <w:tc>
          <w:tcPr>
            <w:shd w:fill="c0c0c0" w:val="clear"/>
            <w:tcMar>
              <w:top w:w="12.0" w:type="dxa"/>
              <w:left w:w="12.0" w:type="dxa"/>
              <w:bottom w:w="0.0" w:type="dxa"/>
              <w:right w:w="12.0" w:type="dxa"/>
            </w:tcMar>
          </w:tcPr>
          <w:p w:rsidR="00000000" w:rsidDel="00000000" w:rsidP="00000000" w:rsidRDefault="00000000" w:rsidRPr="00000000" w14:paraId="000000A8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Etiqueta Adesiva</w:t>
            </w:r>
          </w:p>
          <w:p w:rsidR="00000000" w:rsidDel="00000000" w:rsidP="00000000" w:rsidRDefault="00000000" w:rsidRPr="00000000" w14:paraId="000000A9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Papel Carbono</w:t>
            </w:r>
          </w:p>
          <w:p w:rsidR="00000000" w:rsidDel="00000000" w:rsidP="00000000" w:rsidRDefault="00000000" w:rsidRPr="00000000" w14:paraId="000000AA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Fita Crepe</w:t>
            </w:r>
          </w:p>
          <w:p w:rsidR="00000000" w:rsidDel="00000000" w:rsidP="00000000" w:rsidRDefault="00000000" w:rsidRPr="00000000" w14:paraId="000000AB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Papel Sanitário</w:t>
            </w:r>
          </w:p>
          <w:p w:rsidR="00000000" w:rsidDel="00000000" w:rsidP="00000000" w:rsidRDefault="00000000" w:rsidRPr="00000000" w14:paraId="000000AC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Fotografia</w:t>
            </w:r>
          </w:p>
          <w:p w:rsidR="00000000" w:rsidDel="00000000" w:rsidP="00000000" w:rsidRDefault="00000000" w:rsidRPr="00000000" w14:paraId="000000AD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Bituca de Cigarro</w:t>
            </w:r>
          </w:p>
        </w:tc>
        <w:tc>
          <w:tcPr>
            <w:shd w:fill="c0c0c0" w:val="clear"/>
          </w:tcPr>
          <w:p w:rsidR="00000000" w:rsidDel="00000000" w:rsidP="00000000" w:rsidRDefault="00000000" w:rsidRPr="00000000" w14:paraId="000000AE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Papel Plastificado</w:t>
            </w:r>
          </w:p>
          <w:p w:rsidR="00000000" w:rsidDel="00000000" w:rsidP="00000000" w:rsidRDefault="00000000" w:rsidRPr="00000000" w14:paraId="000000AF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Guardanapo usado</w:t>
            </w:r>
          </w:p>
          <w:p w:rsidR="00000000" w:rsidDel="00000000" w:rsidP="00000000" w:rsidRDefault="00000000" w:rsidRPr="00000000" w14:paraId="000000B0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Papel com gordura ou restos de comida</w:t>
            </w:r>
          </w:p>
          <w:p w:rsidR="00000000" w:rsidDel="00000000" w:rsidP="00000000" w:rsidRDefault="00000000" w:rsidRPr="00000000" w14:paraId="000000B1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contextualSpacing w:val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330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628"/>
        <w:gridCol w:w="2630"/>
        <w:gridCol w:w="2535"/>
        <w:gridCol w:w="2537"/>
        <w:tblGridChange w:id="0">
          <w:tblGrid>
            <w:gridCol w:w="2628"/>
            <w:gridCol w:w="2630"/>
            <w:gridCol w:w="2535"/>
            <w:gridCol w:w="2537"/>
          </w:tblGrid>
        </w:tblGridChange>
      </w:tblGrid>
      <w:tr>
        <w:trPr>
          <w:trHeight w:val="10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2.0" w:type="dxa"/>
              <w:left w:w="12.0" w:type="dxa"/>
              <w:bottom w:w="0.0" w:type="dxa"/>
              <w:right w:w="12.0" w:type="dxa"/>
            </w:tcMar>
          </w:tcPr>
          <w:p w:rsidR="00000000" w:rsidDel="00000000" w:rsidP="00000000" w:rsidRDefault="00000000" w:rsidRPr="00000000" w14:paraId="000000B3">
            <w:pPr>
              <w:contextualSpacing w:val="0"/>
              <w:jc w:val="center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VIDRO</w:t>
            </w:r>
          </w:p>
        </w:tc>
      </w:tr>
      <w:tr>
        <w:trPr>
          <w:trHeight w:val="380" w:hRule="atLeast"/>
        </w:trPr>
        <w:tc>
          <w:tcPr>
            <w:gridSpan w:val="2"/>
            <w:shd w:fill="auto" w:val="clear"/>
            <w:tcMar>
              <w:top w:w="12.0" w:type="dxa"/>
              <w:left w:w="12.0" w:type="dxa"/>
              <w:bottom w:w="0.0" w:type="dxa"/>
              <w:right w:w="12.0" w:type="dxa"/>
            </w:tcMar>
          </w:tcPr>
          <w:p w:rsidR="00000000" w:rsidDel="00000000" w:rsidP="00000000" w:rsidRDefault="00000000" w:rsidRPr="00000000" w14:paraId="000000B7">
            <w:pPr>
              <w:contextualSpacing w:val="0"/>
              <w:jc w:val="center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Reciclável</w:t>
            </w:r>
          </w:p>
          <w:p w:rsidR="00000000" w:rsidDel="00000000" w:rsidP="00000000" w:rsidRDefault="00000000" w:rsidRPr="00000000" w14:paraId="000000B8">
            <w:pPr>
              <w:ind w:left="142" w:firstLine="0"/>
              <w:contextualSpacing w:val="0"/>
              <w:jc w:val="center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Material deve ser acondicionado em papelão e identificado “CUIDADO VIDROS”</w:t>
            </w:r>
          </w:p>
        </w:tc>
        <w:tc>
          <w:tcPr>
            <w:gridSpan w:val="2"/>
            <w:shd w:fill="c0c0c0" w:val="clear"/>
            <w:tcMar>
              <w:top w:w="12.0" w:type="dxa"/>
              <w:left w:w="12.0" w:type="dxa"/>
              <w:bottom w:w="0.0" w:type="dxa"/>
              <w:right w:w="12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contextualSpacing w:val="0"/>
              <w:jc w:val="center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Não Reciclável</w:t>
            </w:r>
          </w:p>
          <w:p w:rsidR="00000000" w:rsidDel="00000000" w:rsidP="00000000" w:rsidRDefault="00000000" w:rsidRPr="00000000" w14:paraId="000000BB">
            <w:pPr>
              <w:ind w:left="129" w:firstLine="0"/>
              <w:contextualSpacing w:val="0"/>
              <w:jc w:val="center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Material deve ser acondicionado em papelão e identificado “CUIDADO VIDROS”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00" w:hRule="atLeast"/>
        </w:trPr>
        <w:tc>
          <w:tcPr>
            <w:shd w:fill="auto" w:val="clear"/>
            <w:tcMar>
              <w:top w:w="12.0" w:type="dxa"/>
              <w:left w:w="12.0" w:type="dxa"/>
              <w:bottom w:w="0.0" w:type="dxa"/>
              <w:right w:w="12.0" w:type="dxa"/>
            </w:tcMar>
          </w:tcPr>
          <w:p w:rsidR="00000000" w:rsidDel="00000000" w:rsidP="00000000" w:rsidRDefault="00000000" w:rsidRPr="00000000" w14:paraId="000000BD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Garrafa</w:t>
            </w:r>
          </w:p>
          <w:p w:rsidR="00000000" w:rsidDel="00000000" w:rsidP="00000000" w:rsidRDefault="00000000" w:rsidRPr="00000000" w14:paraId="000000BE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•Potes de vidro </w:t>
            </w:r>
          </w:p>
          <w:p w:rsidR="00000000" w:rsidDel="00000000" w:rsidP="00000000" w:rsidRDefault="00000000" w:rsidRPr="00000000" w14:paraId="000000BF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Embalagens</w:t>
            </w:r>
          </w:p>
          <w:p w:rsidR="00000000" w:rsidDel="00000000" w:rsidP="00000000" w:rsidRDefault="00000000" w:rsidRPr="00000000" w14:paraId="000000C0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1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Copo</w:t>
            </w:r>
          </w:p>
          <w:p w:rsidR="00000000" w:rsidDel="00000000" w:rsidP="00000000" w:rsidRDefault="00000000" w:rsidRPr="00000000" w14:paraId="000000C2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Para-brisa</w:t>
            </w:r>
          </w:p>
          <w:p w:rsidR="00000000" w:rsidDel="00000000" w:rsidP="00000000" w:rsidRDefault="00000000" w:rsidRPr="00000000" w14:paraId="000000C3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Vidraria de laboratório (descontaminada)</w:t>
            </w:r>
          </w:p>
        </w:tc>
        <w:tc>
          <w:tcPr>
            <w:shd w:fill="c0c0c0" w:val="clear"/>
            <w:tcMar>
              <w:top w:w="12.0" w:type="dxa"/>
              <w:left w:w="12.0" w:type="dxa"/>
              <w:bottom w:w="0.0" w:type="dxa"/>
              <w:right w:w="12.0" w:type="dxa"/>
            </w:tcMar>
          </w:tcPr>
          <w:p w:rsidR="00000000" w:rsidDel="00000000" w:rsidP="00000000" w:rsidRDefault="00000000" w:rsidRPr="00000000" w14:paraId="000000C4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Lâmpada *</w:t>
            </w:r>
          </w:p>
          <w:p w:rsidR="00000000" w:rsidDel="00000000" w:rsidP="00000000" w:rsidRDefault="00000000" w:rsidRPr="00000000" w14:paraId="000000C5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Espelho</w:t>
            </w:r>
          </w:p>
          <w:p w:rsidR="00000000" w:rsidDel="00000000" w:rsidP="00000000" w:rsidRDefault="00000000" w:rsidRPr="00000000" w14:paraId="000000C6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Vidro temperado</w:t>
            </w:r>
          </w:p>
          <w:p w:rsidR="00000000" w:rsidDel="00000000" w:rsidP="00000000" w:rsidRDefault="00000000" w:rsidRPr="00000000" w14:paraId="000000C7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Louça</w:t>
            </w:r>
          </w:p>
          <w:p w:rsidR="00000000" w:rsidDel="00000000" w:rsidP="00000000" w:rsidRDefault="00000000" w:rsidRPr="00000000" w14:paraId="000000C8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Cerâmica</w:t>
            </w:r>
          </w:p>
        </w:tc>
        <w:tc>
          <w:tcPr>
            <w:shd w:fill="c0c0c0" w:val="clear"/>
          </w:tcPr>
          <w:p w:rsidR="00000000" w:rsidDel="00000000" w:rsidP="00000000" w:rsidRDefault="00000000" w:rsidRPr="00000000" w14:paraId="000000C9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Óculo</w:t>
            </w:r>
          </w:p>
          <w:p w:rsidR="00000000" w:rsidDel="00000000" w:rsidP="00000000" w:rsidRDefault="00000000" w:rsidRPr="00000000" w14:paraId="000000CA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Pirex</w:t>
            </w:r>
          </w:p>
          <w:p w:rsidR="00000000" w:rsidDel="00000000" w:rsidP="00000000" w:rsidRDefault="00000000" w:rsidRPr="00000000" w14:paraId="000000CB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Porcelana</w:t>
            </w:r>
          </w:p>
          <w:p w:rsidR="00000000" w:rsidDel="00000000" w:rsidP="00000000" w:rsidRDefault="00000000" w:rsidRPr="00000000" w14:paraId="000000CC">
            <w:pPr>
              <w:ind w:left="142" w:firstLine="0"/>
              <w:contextualSpacing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• Vidraria de laboratório contaminada**</w:t>
            </w:r>
          </w:p>
        </w:tc>
      </w:tr>
    </w:tbl>
    <w:p w:rsidR="00000000" w:rsidDel="00000000" w:rsidP="00000000" w:rsidRDefault="00000000" w:rsidRPr="00000000" w14:paraId="000000CD">
      <w:pPr>
        <w:contextualSpacing w:val="0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contextualSpacing w:val="0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* 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Lâmpadas fluorescentes e mistas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 devem ser depositadas no Coletor de Resíduos Perigosos. As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incandescentes no resíduo comum.</w:t>
      </w:r>
    </w:p>
    <w:p w:rsidR="00000000" w:rsidDel="00000000" w:rsidP="00000000" w:rsidRDefault="00000000" w:rsidRPr="00000000" w14:paraId="000000C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contextualSpacing w:val="0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**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Vidraria contaminada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deverá ser separada, identificada e informada à Poli Recicla para posterior coleta de resíduos químicos.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8369300</wp:posOffset>
                </wp:positionV>
                <wp:extent cx="6515100" cy="4318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088450" y="3566640"/>
                          <a:ext cx="65151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Av Prof. Almeida Prado – Travessa 1 – nº 115 – 05508-900 – São Paulo/SP – BRASIL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TEL: 55 (11) 3091-5517 – e-mail: poli.usp.recicla.poli@usp.br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8369300</wp:posOffset>
                </wp:positionV>
                <wp:extent cx="6515100" cy="431800"/>
                <wp:effectExtent b="0" l="0" r="0" t="0"/>
                <wp:wrapNone/>
                <wp:docPr id="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1510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20" w:type="default"/>
      <w:footerReference r:id="rId21" w:type="default"/>
      <w:pgSz w:h="16838" w:w="11906"/>
      <w:pgMar w:bottom="1620" w:top="1812" w:left="800" w:right="800" w:header="454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Calibri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Balthazar">
    <w:embedRegular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contextualSpacing w:val="0"/>
      <w:jc w:val="left"/>
      <w:rPr>
        <w:rFonts w:ascii="Balthazar" w:cs="Balthazar" w:eastAsia="Balthazar" w:hAnsi="Balthazar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114300</wp:posOffset>
              </wp:positionH>
              <wp:positionV relativeFrom="paragraph">
                <wp:posOffset>-203199</wp:posOffset>
              </wp:positionV>
              <wp:extent cx="6515100" cy="1270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088450" y="3780000"/>
                        <a:ext cx="65151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114300</wp:posOffset>
              </wp:positionH>
              <wp:positionV relativeFrom="paragraph">
                <wp:posOffset>-203199</wp:posOffset>
              </wp:positionV>
              <wp:extent cx="6515100" cy="12700"/>
              <wp:effectExtent b="0" l="0" r="0" t="0"/>
              <wp:wrapNone/>
              <wp:docPr id="1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151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254000</wp:posOffset>
              </wp:positionH>
              <wp:positionV relativeFrom="paragraph">
                <wp:posOffset>-190499</wp:posOffset>
              </wp:positionV>
              <wp:extent cx="6515100" cy="43180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2088450" y="3566640"/>
                        <a:ext cx="6515100" cy="426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mbria" w:cs="Cambria" w:eastAsia="Cambria" w:hAnsi="Cambri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Av Prof. Almeida Prado – Travessa 1 – nº 115 – 05508-900 – São Paulo/SP – BRASIL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mbria" w:cs="Cambria" w:eastAsia="Cambria" w:hAnsi="Cambri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mbria" w:cs="Cambria" w:eastAsia="Cambria" w:hAnsi="Cambri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TEL: 55 (11) 3091-5517 – e-mail: recicla.poli@usp.br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mbria" w:cs="Cambria" w:eastAsia="Cambria" w:hAnsi="Cambri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mbria" w:cs="Cambria" w:eastAsia="Cambria" w:hAnsi="Cambri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254000</wp:posOffset>
              </wp:positionH>
              <wp:positionV relativeFrom="paragraph">
                <wp:posOffset>-190499</wp:posOffset>
              </wp:positionV>
              <wp:extent cx="6515100" cy="431800"/>
              <wp:effectExtent b="0" l="0" r="0" t="0"/>
              <wp:wrapNone/>
              <wp:docPr id="3" name="image18.png"/>
              <a:graphic>
                <a:graphicData uri="http://schemas.openxmlformats.org/drawingml/2006/picture">
                  <pic:pic>
                    <pic:nvPicPr>
                      <pic:cNvPr id="0" name="image1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15100" cy="431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contextualSpacing w:val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228600</wp:posOffset>
          </wp:positionH>
          <wp:positionV relativeFrom="paragraph">
            <wp:posOffset>59689</wp:posOffset>
          </wp:positionV>
          <wp:extent cx="4825365" cy="633730"/>
          <wp:effectExtent b="0" l="0" r="0" t="0"/>
          <wp:wrapSquare wrapText="bothSides" distB="0" distT="0" distL="114300" distR="114300"/>
          <wp:docPr descr="head_02" id="4" name="image19.png"/>
          <a:graphic>
            <a:graphicData uri="http://schemas.openxmlformats.org/drawingml/2006/picture">
              <pic:pic>
                <pic:nvPicPr>
                  <pic:cNvPr descr="head_02" id="0" name="image1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25365" cy="63373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D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contextualSpacing w:val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5582920</wp:posOffset>
          </wp:positionH>
          <wp:positionV relativeFrom="paragraph">
            <wp:posOffset>1905</wp:posOffset>
          </wp:positionV>
          <wp:extent cx="981710" cy="417195"/>
          <wp:effectExtent b="0" l="0" r="0" t="0"/>
          <wp:wrapNone/>
          <wp:docPr descr="C:\Users\Camila\Downloads\logo novo.jpg" id="7" name="image22.jpg"/>
          <a:graphic>
            <a:graphicData uri="http://schemas.openxmlformats.org/drawingml/2006/picture">
              <pic:pic>
                <pic:nvPicPr>
                  <pic:cNvPr descr="C:\Users\Camila\Downloads\logo novo.jpg" id="0" name="image2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1710" cy="41719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D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contextualSpacing w:val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b w:val="1"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00" w:lineRule="auto"/>
      <w:jc w:val="both"/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28.png"/><Relationship Id="rId10" Type="http://schemas.openxmlformats.org/officeDocument/2006/relationships/image" Target="media/image21.png"/><Relationship Id="rId21" Type="http://schemas.openxmlformats.org/officeDocument/2006/relationships/footer" Target="footer1.xml"/><Relationship Id="rId13" Type="http://schemas.openxmlformats.org/officeDocument/2006/relationships/image" Target="media/image30.jpg"/><Relationship Id="rId12" Type="http://schemas.openxmlformats.org/officeDocument/2006/relationships/image" Target="media/image3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5.jpg"/><Relationship Id="rId15" Type="http://schemas.openxmlformats.org/officeDocument/2006/relationships/image" Target="media/image31.jpg"/><Relationship Id="rId14" Type="http://schemas.openxmlformats.org/officeDocument/2006/relationships/image" Target="media/image26.jpg"/><Relationship Id="rId17" Type="http://schemas.openxmlformats.org/officeDocument/2006/relationships/image" Target="media/image29.png"/><Relationship Id="rId16" Type="http://schemas.openxmlformats.org/officeDocument/2006/relationships/hyperlink" Target="mailto:cedir@usp.br" TargetMode="External"/><Relationship Id="rId5" Type="http://schemas.openxmlformats.org/officeDocument/2006/relationships/styles" Target="styles.xml"/><Relationship Id="rId19" Type="http://schemas.openxmlformats.org/officeDocument/2006/relationships/image" Target="media/image16.png"/><Relationship Id="rId6" Type="http://schemas.openxmlformats.org/officeDocument/2006/relationships/hyperlink" Target="mailto:recicla.poli@usp.br" TargetMode="External"/><Relationship Id="rId18" Type="http://schemas.openxmlformats.org/officeDocument/2006/relationships/image" Target="media/image27.jpg"/><Relationship Id="rId7" Type="http://schemas.openxmlformats.org/officeDocument/2006/relationships/image" Target="media/image20.png"/><Relationship Id="rId8" Type="http://schemas.openxmlformats.org/officeDocument/2006/relationships/image" Target="media/image2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althazar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18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