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37" w:rsidRDefault="002F3B37" w:rsidP="00B768EE">
      <w:pPr>
        <w:jc w:val="center"/>
        <w:rPr>
          <w:b/>
          <w:sz w:val="28"/>
          <w:szCs w:val="28"/>
        </w:rPr>
      </w:pPr>
    </w:p>
    <w:p w:rsidR="00B768EE" w:rsidRPr="00DE3866" w:rsidRDefault="00B768EE" w:rsidP="00B768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3866">
        <w:rPr>
          <w:b/>
          <w:sz w:val="28"/>
          <w:szCs w:val="28"/>
        </w:rPr>
        <w:t>Anexo</w:t>
      </w:r>
    </w:p>
    <w:p w:rsidR="00B768EE" w:rsidRDefault="00B768EE" w:rsidP="00B768EE">
      <w:pPr>
        <w:jc w:val="center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Checkl</w:t>
      </w:r>
      <w:r w:rsidRPr="00991889">
        <w:rPr>
          <w:b/>
          <w:i/>
          <w:sz w:val="28"/>
          <w:szCs w:val="28"/>
        </w:rPr>
        <w:t>ist</w:t>
      </w:r>
      <w:proofErr w:type="spellEnd"/>
      <w:r w:rsidRPr="009223A3">
        <w:rPr>
          <w:b/>
          <w:sz w:val="28"/>
          <w:szCs w:val="28"/>
        </w:rPr>
        <w:t xml:space="preserve"> Eleições Discentes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510"/>
        <w:gridCol w:w="2764"/>
        <w:gridCol w:w="2791"/>
      </w:tblGrid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jc w:val="center"/>
              <w:rPr>
                <w:b/>
                <w:szCs w:val="24"/>
              </w:rPr>
            </w:pPr>
            <w:r w:rsidRPr="00F339BB">
              <w:rPr>
                <w:b/>
                <w:szCs w:val="24"/>
              </w:rPr>
              <w:t>Ato realizado</w:t>
            </w:r>
          </w:p>
        </w:tc>
        <w:tc>
          <w:tcPr>
            <w:tcW w:w="2764" w:type="dxa"/>
            <w:vAlign w:val="center"/>
          </w:tcPr>
          <w:p w:rsidR="00B768EE" w:rsidRPr="009223A3" w:rsidRDefault="00B768EE" w:rsidP="0029208C">
            <w:pPr>
              <w:jc w:val="center"/>
              <w:rPr>
                <w:b/>
                <w:szCs w:val="24"/>
              </w:rPr>
            </w:pPr>
            <w:r w:rsidRPr="009223A3">
              <w:rPr>
                <w:b/>
                <w:szCs w:val="24"/>
              </w:rPr>
              <w:t>Previsão Normativa</w:t>
            </w:r>
          </w:p>
        </w:tc>
        <w:tc>
          <w:tcPr>
            <w:tcW w:w="2791" w:type="dxa"/>
            <w:vAlign w:val="center"/>
          </w:tcPr>
          <w:p w:rsidR="00B768EE" w:rsidRPr="009223A3" w:rsidRDefault="00B768EE" w:rsidP="002920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Comprovação nos autos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F339BB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 xml:space="preserve"> </w:t>
            </w:r>
            <w:r w:rsidR="00B768EE" w:rsidRPr="00F339BB">
              <w:rPr>
                <w:szCs w:val="24"/>
              </w:rPr>
              <w:t xml:space="preserve">Foi utilizada </w:t>
            </w:r>
            <w:r w:rsidR="00B768EE" w:rsidRPr="00F339BB">
              <w:rPr>
                <w:i/>
                <w:szCs w:val="24"/>
              </w:rPr>
              <w:t>integralmente</w:t>
            </w:r>
            <w:r w:rsidR="00B768EE" w:rsidRPr="00F339BB">
              <w:rPr>
                <w:szCs w:val="24"/>
              </w:rPr>
              <w:t xml:space="preserve"> a minuta-padrão aprovada pela CLR?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225 do 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Pr="009223A3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29208C" w:rsidTr="00CB617F">
        <w:trPr>
          <w:cantSplit/>
        </w:trPr>
        <w:tc>
          <w:tcPr>
            <w:tcW w:w="3510" w:type="dxa"/>
            <w:vAlign w:val="center"/>
          </w:tcPr>
          <w:p w:rsidR="0029208C" w:rsidRPr="00F339BB" w:rsidRDefault="0029208C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Foi assegurada a possibilidade tanto de inscrições individuais quanto de inscrições por chapa?</w:t>
            </w:r>
          </w:p>
        </w:tc>
        <w:tc>
          <w:tcPr>
            <w:tcW w:w="2764" w:type="dxa"/>
            <w:vAlign w:val="center"/>
          </w:tcPr>
          <w:p w:rsidR="0029208C" w:rsidRPr="002828A3" w:rsidRDefault="0029208C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225, § 2º, do Regimento Geral</w:t>
            </w:r>
          </w:p>
        </w:tc>
        <w:tc>
          <w:tcPr>
            <w:tcW w:w="2791" w:type="dxa"/>
            <w:vAlign w:val="center"/>
          </w:tcPr>
          <w:p w:rsidR="0029208C" w:rsidRDefault="0029208C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29208C" w:rsidRDefault="0029208C" w:rsidP="0029208C">
            <w:pPr>
              <w:jc w:val="both"/>
              <w:rPr>
                <w:szCs w:val="24"/>
              </w:rPr>
            </w:pPr>
          </w:p>
          <w:p w:rsidR="0029208C" w:rsidRDefault="0029208C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F339BB" w:rsidTr="00CB617F">
        <w:trPr>
          <w:cantSplit/>
        </w:trPr>
        <w:tc>
          <w:tcPr>
            <w:tcW w:w="3510" w:type="dxa"/>
            <w:vAlign w:val="center"/>
          </w:tcPr>
          <w:p w:rsidR="00F339BB" w:rsidRPr="00F339BB" w:rsidRDefault="00F339BB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 xml:space="preserve">Houve segregação </w:t>
            </w:r>
            <w:r w:rsidR="0029208C" w:rsidRPr="00F339BB">
              <w:rPr>
                <w:szCs w:val="24"/>
              </w:rPr>
              <w:t xml:space="preserve">por curso </w:t>
            </w:r>
            <w:r w:rsidRPr="00F339BB">
              <w:rPr>
                <w:szCs w:val="24"/>
              </w:rPr>
              <w:t>das vagas nos colegiados</w:t>
            </w:r>
            <w:r w:rsidR="00EB4447">
              <w:rPr>
                <w:szCs w:val="24"/>
              </w:rPr>
              <w:t xml:space="preserve"> de âmbito amplo</w:t>
            </w:r>
            <w:r w:rsidRPr="00F339BB">
              <w:rPr>
                <w:szCs w:val="24"/>
              </w:rPr>
              <w:t>?</w:t>
            </w:r>
          </w:p>
          <w:p w:rsidR="00F339BB" w:rsidRPr="00F339BB" w:rsidRDefault="00F339BB" w:rsidP="00CB617F">
            <w:pPr>
              <w:ind w:left="426"/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(</w:t>
            </w:r>
            <w:proofErr w:type="spellStart"/>
            <w:r w:rsidRPr="00F339BB">
              <w:rPr>
                <w:szCs w:val="24"/>
              </w:rPr>
              <w:t>ex</w:t>
            </w:r>
            <w:proofErr w:type="spellEnd"/>
            <w:r w:rsidRPr="00F339BB">
              <w:rPr>
                <w:szCs w:val="24"/>
              </w:rPr>
              <w:t xml:space="preserve">: </w:t>
            </w:r>
            <w:r w:rsidR="0029208C">
              <w:rPr>
                <w:szCs w:val="24"/>
              </w:rPr>
              <w:t>n</w:t>
            </w:r>
            <w:r w:rsidR="00EB4447">
              <w:rPr>
                <w:szCs w:val="24"/>
              </w:rPr>
              <w:t>a Congregação</w:t>
            </w:r>
            <w:r w:rsidR="0029208C">
              <w:rPr>
                <w:szCs w:val="24"/>
              </w:rPr>
              <w:t xml:space="preserve">, </w:t>
            </w:r>
            <w:r w:rsidRPr="00F339BB">
              <w:rPr>
                <w:szCs w:val="24"/>
              </w:rPr>
              <w:t xml:space="preserve">um assento </w:t>
            </w:r>
            <w:r w:rsidR="0029208C">
              <w:rPr>
                <w:szCs w:val="24"/>
              </w:rPr>
              <w:t>para o curso Y, e um assento para o curso Z</w:t>
            </w:r>
            <w:r w:rsidRPr="00F339BB">
              <w:rPr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F339BB" w:rsidRPr="002828A3" w:rsidRDefault="00F339BB" w:rsidP="00EB4447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Circular SG/CL</w:t>
            </w:r>
            <w:r w:rsidR="00EB4447">
              <w:rPr>
                <w:szCs w:val="24"/>
              </w:rPr>
              <w:t>R/80, de 23 de novembro de 2018</w:t>
            </w:r>
          </w:p>
        </w:tc>
        <w:tc>
          <w:tcPr>
            <w:tcW w:w="2791" w:type="dxa"/>
            <w:vAlign w:val="center"/>
          </w:tcPr>
          <w:p w:rsidR="00F339BB" w:rsidRDefault="00F339BB" w:rsidP="00EB44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EB4447" w:rsidRDefault="00EB4447" w:rsidP="00EB4447">
            <w:pPr>
              <w:jc w:val="both"/>
              <w:rPr>
                <w:szCs w:val="24"/>
              </w:rPr>
            </w:pPr>
          </w:p>
          <w:p w:rsidR="00EB4447" w:rsidRDefault="00EB4447" w:rsidP="00EB44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F339BB" w:rsidP="00CB617F">
            <w:pPr>
              <w:pStyle w:val="PargrafodaList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 xml:space="preserve"> Havia</w:t>
            </w:r>
            <w:r w:rsidR="00B768EE" w:rsidRPr="00F339BB">
              <w:rPr>
                <w:szCs w:val="24"/>
              </w:rPr>
              <w:t xml:space="preserve"> previsão expressa no Regimento Interno da Unidade</w:t>
            </w:r>
            <w:r w:rsidRPr="00F339BB">
              <w:rPr>
                <w:szCs w:val="24"/>
              </w:rPr>
              <w:t>/</w:t>
            </w:r>
            <w:r w:rsidR="0029208C">
              <w:rPr>
                <w:szCs w:val="24"/>
              </w:rPr>
              <w:t>órgão</w:t>
            </w:r>
            <w:r w:rsidRPr="00F339BB">
              <w:rPr>
                <w:szCs w:val="24"/>
              </w:rPr>
              <w:t xml:space="preserve"> para a </w:t>
            </w:r>
            <w:r w:rsidR="00B768EE" w:rsidRPr="00F339BB">
              <w:rPr>
                <w:szCs w:val="24"/>
              </w:rPr>
              <w:t xml:space="preserve">segregação por curso </w:t>
            </w:r>
            <w:r w:rsidRPr="00F339BB">
              <w:rPr>
                <w:szCs w:val="24"/>
              </w:rPr>
              <w:t>d</w:t>
            </w:r>
            <w:r w:rsidR="00B768EE" w:rsidRPr="00F339BB">
              <w:rPr>
                <w:szCs w:val="24"/>
              </w:rPr>
              <w:t>as vagas de represe</w:t>
            </w:r>
            <w:r w:rsidRPr="00F339BB">
              <w:rPr>
                <w:szCs w:val="24"/>
              </w:rPr>
              <w:t>ntação discente nos colegiados</w:t>
            </w:r>
            <w:r w:rsidR="00EB4447">
              <w:rPr>
                <w:szCs w:val="24"/>
              </w:rPr>
              <w:t xml:space="preserve"> de âmbito amplo</w:t>
            </w:r>
            <w:r w:rsidRPr="00F339BB">
              <w:rPr>
                <w:szCs w:val="24"/>
              </w:rPr>
              <w:t>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EB4447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Circular SG/CLR/80, de 23 de novembro de 2018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F339BB" w:rsidRDefault="00F339BB" w:rsidP="0029208C">
            <w:pPr>
              <w:jc w:val="both"/>
              <w:rPr>
                <w:szCs w:val="24"/>
              </w:rPr>
            </w:pPr>
          </w:p>
          <w:p w:rsidR="00EB4447" w:rsidRDefault="00EB4447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Art. ___ do Regimento</w:t>
            </w:r>
          </w:p>
          <w:p w:rsidR="00F339BB" w:rsidRDefault="00F339BB" w:rsidP="0029208C">
            <w:pPr>
              <w:jc w:val="both"/>
              <w:rPr>
                <w:szCs w:val="24"/>
              </w:rPr>
            </w:pPr>
          </w:p>
          <w:p w:rsidR="00B768EE" w:rsidRDefault="00F339BB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Não se aplica</w:t>
            </w:r>
            <w:r w:rsidR="0029208C">
              <w:rPr>
                <w:szCs w:val="24"/>
              </w:rPr>
              <w:t>, pois a resposta ao item 3. foi “não”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EB4447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Foi realizada eleição</w:t>
            </w:r>
            <w:r w:rsidR="00B768EE" w:rsidRPr="00F339BB">
              <w:rPr>
                <w:szCs w:val="24"/>
              </w:rPr>
              <w:t xml:space="preserve"> exclusivamente para o preenchimento de vaga de suplente</w:t>
            </w:r>
            <w:r>
              <w:rPr>
                <w:szCs w:val="24"/>
              </w:rPr>
              <w:t xml:space="preserve"> para algum dos colegiados?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EB4447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Circular SG/CLR/80, de 23 de novembro de 2018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Foi observado o prazo mínimo de 30 dias entre a publicidade da Portaria de convocação e a realização da eleição?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225, § 1º,</w:t>
            </w:r>
          </w:p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do 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Pr="009223A3" w:rsidRDefault="00B768EE" w:rsidP="0029208C">
            <w:pPr>
              <w:jc w:val="both"/>
              <w:rPr>
                <w:szCs w:val="24"/>
              </w:rPr>
            </w:pPr>
            <w:r w:rsidRPr="009223A3">
              <w:rPr>
                <w:szCs w:val="24"/>
              </w:rPr>
              <w:t xml:space="preserve">Data da publicação – 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szCs w:val="24"/>
              </w:rPr>
            </w:pPr>
            <w:r w:rsidRPr="009223A3">
              <w:rPr>
                <w:szCs w:val="24"/>
              </w:rPr>
              <w:t xml:space="preserve">Data da Eleição </w:t>
            </w:r>
            <w:r>
              <w:rPr>
                <w:szCs w:val="24"/>
              </w:rPr>
              <w:t>–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EB44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Houve designação da Comissão Eleitoral com composição paritária (mesmo número de docentes e discentes)?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222, § 4º,</w:t>
            </w:r>
          </w:p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do 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lastRenderedPageBreak/>
              <w:t>O membro docente da Comissão Eleitoral é membro da Congregação ou órgão equivalente?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222, § 4º, do 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Os membros discentes da Comissão Eleitoral foram eleitos pelos atuais representantes discentes, dentre aqueles que não são candidatos?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222, § 4º, do 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Pr="009223A3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 xml:space="preserve">Na total impossibilidade de cumprimento do requisito </w:t>
            </w:r>
            <w:r w:rsidR="00EB4447">
              <w:rPr>
                <w:szCs w:val="24"/>
              </w:rPr>
              <w:t>do item 6.2.</w:t>
            </w:r>
            <w:r w:rsidRPr="00F339BB">
              <w:rPr>
                <w:szCs w:val="24"/>
              </w:rPr>
              <w:t>, os membros discentes da Comissão Eleitoral foram eleitos por meio de consulta direta ao corpo discente?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B617F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Circular SG/CL</w:t>
            </w:r>
            <w:r w:rsidR="00CB617F">
              <w:rPr>
                <w:szCs w:val="24"/>
              </w:rPr>
              <w:t>R/80, de 23 de novembro de 2018</w:t>
            </w:r>
          </w:p>
        </w:tc>
        <w:tc>
          <w:tcPr>
            <w:tcW w:w="2791" w:type="dxa"/>
            <w:vAlign w:val="center"/>
          </w:tcPr>
          <w:p w:rsidR="00EB4447" w:rsidRDefault="00B768EE" w:rsidP="00EB44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 ( ) Não</w:t>
            </w:r>
          </w:p>
          <w:p w:rsidR="00EB4447" w:rsidRDefault="00EB4447" w:rsidP="00EB4447">
            <w:pPr>
              <w:jc w:val="both"/>
              <w:rPr>
                <w:szCs w:val="24"/>
              </w:rPr>
            </w:pPr>
          </w:p>
          <w:p w:rsidR="00B768EE" w:rsidRDefault="00EB4447" w:rsidP="00EB44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EB44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Não se aplica</w:t>
            </w:r>
            <w:r w:rsidR="00EB4447">
              <w:rPr>
                <w:szCs w:val="24"/>
              </w:rPr>
              <w:t>, pois a resposta ao item 6.2. foi “sim”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A inscrição dos candidatos foi acompanhada do comprovante de regularidade de matrícula, que instrui os autos?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proofErr w:type="spellStart"/>
            <w:r w:rsidRPr="002828A3">
              <w:rPr>
                <w:szCs w:val="24"/>
              </w:rPr>
              <w:t>Arts</w:t>
            </w:r>
            <w:proofErr w:type="spellEnd"/>
            <w:r w:rsidRPr="002828A3">
              <w:rPr>
                <w:szCs w:val="24"/>
              </w:rPr>
              <w:t>. 223 e 224 do</w:t>
            </w:r>
          </w:p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Para os candidatos</w:t>
            </w:r>
            <w:r w:rsidR="0029208C">
              <w:rPr>
                <w:szCs w:val="24"/>
              </w:rPr>
              <w:t xml:space="preserve"> da Graduação</w:t>
            </w:r>
            <w:r w:rsidRPr="00F339BB">
              <w:rPr>
                <w:szCs w:val="24"/>
              </w:rPr>
              <w:t xml:space="preserve"> que não estão matriculados no primeiro ou segundo semestre do curso, houve observância do requisito de terem cursado pelo menos doze créditos no conjunto dos dois semestres imediatamente anteriores?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224 do 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  <w:p w:rsidR="0029208C" w:rsidRDefault="0029208C" w:rsidP="0029208C">
            <w:pPr>
              <w:jc w:val="both"/>
              <w:rPr>
                <w:szCs w:val="24"/>
              </w:rPr>
            </w:pPr>
          </w:p>
          <w:p w:rsidR="0029208C" w:rsidRDefault="0029208C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Não se aplica, por se tratar de eleição exclusivamente dos representantes discentes da Pós-Graduação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 xml:space="preserve">Houve formalização do deferimento das inscrições de candidaturas e a correspondente publicidade do ato no </w:t>
            </w:r>
            <w:r w:rsidRPr="00F339BB">
              <w:rPr>
                <w:i/>
                <w:szCs w:val="24"/>
              </w:rPr>
              <w:t>site</w:t>
            </w:r>
            <w:r w:rsidRPr="00F339BB">
              <w:rPr>
                <w:szCs w:val="24"/>
              </w:rPr>
              <w:t xml:space="preserve"> da Unidade?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7º, § 3º, da minuta padrão da CLR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Houve recursos sobre o deferimento / indeferimento de inscrições?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74039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Art. 7º, § 4º, da minuta padrão da CLR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Pr="009223A3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8971DD" w:rsidTr="00CB617F">
        <w:trPr>
          <w:cantSplit/>
        </w:trPr>
        <w:tc>
          <w:tcPr>
            <w:tcW w:w="3510" w:type="dxa"/>
            <w:vAlign w:val="center"/>
          </w:tcPr>
          <w:p w:rsidR="008971DD" w:rsidRPr="00F339BB" w:rsidRDefault="008971DD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Foi realizado sorteio para definição da ordem dos nomes nas cédulas?</w:t>
            </w:r>
          </w:p>
        </w:tc>
        <w:tc>
          <w:tcPr>
            <w:tcW w:w="2764" w:type="dxa"/>
            <w:vAlign w:val="center"/>
          </w:tcPr>
          <w:p w:rsidR="008971DD" w:rsidRPr="002828A3" w:rsidRDefault="008971DD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7º, § 5º, da minuta padrão da CLR</w:t>
            </w:r>
          </w:p>
        </w:tc>
        <w:tc>
          <w:tcPr>
            <w:tcW w:w="2791" w:type="dxa"/>
            <w:vAlign w:val="center"/>
          </w:tcPr>
          <w:p w:rsidR="002B2D92" w:rsidRDefault="008971DD" w:rsidP="008971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2B2D92" w:rsidRDefault="002B2D92" w:rsidP="002B2D92">
            <w:pPr>
              <w:jc w:val="both"/>
              <w:rPr>
                <w:szCs w:val="24"/>
              </w:rPr>
            </w:pPr>
          </w:p>
          <w:p w:rsidR="002B2D92" w:rsidRDefault="002B2D92" w:rsidP="002B2D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  <w:p w:rsidR="002B2D92" w:rsidRDefault="002B2D92" w:rsidP="002B2D92">
            <w:pPr>
              <w:jc w:val="both"/>
              <w:rPr>
                <w:szCs w:val="24"/>
              </w:rPr>
            </w:pPr>
          </w:p>
          <w:p w:rsidR="008971DD" w:rsidRDefault="002B2D92" w:rsidP="002B2D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Não se aplica, pois houve uma única inscrição para cada colegiado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lastRenderedPageBreak/>
              <w:t>Houve designação de Mesa Receptora para votação convencional?</w:t>
            </w:r>
          </w:p>
        </w:tc>
        <w:tc>
          <w:tcPr>
            <w:tcW w:w="2764" w:type="dxa"/>
            <w:vAlign w:val="center"/>
          </w:tcPr>
          <w:p w:rsidR="00B768EE" w:rsidRPr="009223A3" w:rsidRDefault="00B768EE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222, § 5°, do Regimento Geral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Foi elaborada e juntada aos autos a ata do processo eleitoral?</w:t>
            </w:r>
          </w:p>
        </w:tc>
        <w:tc>
          <w:tcPr>
            <w:tcW w:w="2764" w:type="dxa"/>
            <w:vAlign w:val="center"/>
          </w:tcPr>
          <w:p w:rsidR="00B768EE" w:rsidRDefault="00B768EE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37 da CF,</w:t>
            </w:r>
          </w:p>
          <w:p w:rsidR="00B768EE" w:rsidRDefault="00B768EE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Publicidade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Pr="009223A3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A ata apre</w:t>
            </w:r>
            <w:r w:rsidR="0038706B">
              <w:rPr>
                <w:szCs w:val="24"/>
              </w:rPr>
              <w:t>sentada contém a composição da C</w:t>
            </w:r>
            <w:r w:rsidRPr="00F339BB">
              <w:rPr>
                <w:szCs w:val="24"/>
              </w:rPr>
              <w:t xml:space="preserve">omissão </w:t>
            </w:r>
            <w:r w:rsidR="0038706B">
              <w:rPr>
                <w:szCs w:val="24"/>
              </w:rPr>
              <w:t>E</w:t>
            </w:r>
            <w:r w:rsidRPr="00F339BB">
              <w:rPr>
                <w:szCs w:val="24"/>
              </w:rPr>
              <w:t>leitoral, o número de elei</w:t>
            </w:r>
            <w:r w:rsidR="00CB617F">
              <w:rPr>
                <w:szCs w:val="24"/>
              </w:rPr>
              <w:t>tores, o número de votantes e</w:t>
            </w:r>
            <w:r w:rsidRPr="00F339BB">
              <w:rPr>
                <w:szCs w:val="24"/>
              </w:rPr>
              <w:t xml:space="preserve"> a especificação da quantidade</w:t>
            </w:r>
            <w:r w:rsidR="00CB617F">
              <w:rPr>
                <w:szCs w:val="24"/>
              </w:rPr>
              <w:t xml:space="preserve"> deles</w:t>
            </w:r>
            <w:r w:rsidRPr="00F339BB">
              <w:rPr>
                <w:szCs w:val="24"/>
              </w:rPr>
              <w:t xml:space="preserve"> que se utilizou de cada modalidade de votação (eletrônica/convencional)?</w:t>
            </w:r>
          </w:p>
        </w:tc>
        <w:tc>
          <w:tcPr>
            <w:tcW w:w="2764" w:type="dxa"/>
            <w:vAlign w:val="center"/>
          </w:tcPr>
          <w:p w:rsidR="00B768EE" w:rsidRDefault="00913756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Art. 2º, inc. IV, da </w:t>
            </w:r>
            <w:r w:rsidR="00B768EE">
              <w:rPr>
                <w:szCs w:val="24"/>
              </w:rPr>
              <w:t>Portaria GR</w:t>
            </w:r>
            <w:r>
              <w:rPr>
                <w:szCs w:val="24"/>
              </w:rPr>
              <w:t xml:space="preserve"> 6898/2017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 ( ) Não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 xml:space="preserve">A </w:t>
            </w:r>
            <w:r w:rsidR="00CB617F">
              <w:rPr>
                <w:szCs w:val="24"/>
              </w:rPr>
              <w:t>ata foi assinada pela Comissão E</w:t>
            </w:r>
            <w:r w:rsidRPr="00F339BB">
              <w:rPr>
                <w:szCs w:val="24"/>
              </w:rPr>
              <w:t>leitoral?</w:t>
            </w:r>
          </w:p>
        </w:tc>
        <w:tc>
          <w:tcPr>
            <w:tcW w:w="2764" w:type="dxa"/>
            <w:vAlign w:val="center"/>
          </w:tcPr>
          <w:p w:rsidR="00B768EE" w:rsidRPr="002828A3" w:rsidRDefault="00B768EE" w:rsidP="00CB617F">
            <w:pPr>
              <w:jc w:val="center"/>
              <w:rPr>
                <w:szCs w:val="24"/>
              </w:rPr>
            </w:pPr>
            <w:r w:rsidRPr="002828A3">
              <w:rPr>
                <w:szCs w:val="24"/>
              </w:rPr>
              <w:t>Circular SG/CLR/80, de 23 de novembro de</w:t>
            </w:r>
            <w:r w:rsidR="00CB617F">
              <w:rPr>
                <w:szCs w:val="24"/>
              </w:rPr>
              <w:t xml:space="preserve"> 2018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CB617F" w:rsidP="00CB6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B768EE" w:rsidTr="00CB617F">
        <w:trPr>
          <w:cantSplit/>
        </w:trPr>
        <w:tc>
          <w:tcPr>
            <w:tcW w:w="3510" w:type="dxa"/>
            <w:vAlign w:val="center"/>
          </w:tcPr>
          <w:p w:rsidR="00B768EE" w:rsidRPr="00F339BB" w:rsidRDefault="00B768EE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 xml:space="preserve">Foi necessário o uso de critérios de desempate? </w:t>
            </w:r>
          </w:p>
        </w:tc>
        <w:tc>
          <w:tcPr>
            <w:tcW w:w="2764" w:type="dxa"/>
            <w:vAlign w:val="center"/>
          </w:tcPr>
          <w:p w:rsidR="00B768EE" w:rsidRDefault="00B768EE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16 da minuta padrão da CLR</w:t>
            </w:r>
          </w:p>
        </w:tc>
        <w:tc>
          <w:tcPr>
            <w:tcW w:w="2791" w:type="dxa"/>
            <w:vAlign w:val="center"/>
          </w:tcPr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B768EE" w:rsidRDefault="00B768EE" w:rsidP="0029208C">
            <w:pPr>
              <w:jc w:val="both"/>
              <w:rPr>
                <w:szCs w:val="24"/>
              </w:rPr>
            </w:pPr>
          </w:p>
          <w:p w:rsidR="00B768EE" w:rsidRDefault="00B768EE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994089" w:rsidTr="00CB617F">
        <w:trPr>
          <w:cantSplit/>
        </w:trPr>
        <w:tc>
          <w:tcPr>
            <w:tcW w:w="3510" w:type="dxa"/>
            <w:vAlign w:val="center"/>
          </w:tcPr>
          <w:p w:rsidR="00994089" w:rsidRPr="00F339BB" w:rsidRDefault="00994089" w:rsidP="00CB617F">
            <w:pPr>
              <w:pStyle w:val="PargrafodaList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 desempate realizado </w:t>
            </w:r>
            <w:r w:rsidRPr="00F339BB">
              <w:rPr>
                <w:szCs w:val="24"/>
              </w:rPr>
              <w:t>observou os critérios previstos na minuta-padrão da CLR?</w:t>
            </w:r>
          </w:p>
        </w:tc>
        <w:tc>
          <w:tcPr>
            <w:tcW w:w="2764" w:type="dxa"/>
            <w:vAlign w:val="center"/>
          </w:tcPr>
          <w:p w:rsidR="00994089" w:rsidRDefault="00994089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16 da minuta padrão da CLR</w:t>
            </w:r>
          </w:p>
        </w:tc>
        <w:tc>
          <w:tcPr>
            <w:tcW w:w="2791" w:type="dxa"/>
            <w:vAlign w:val="center"/>
          </w:tcPr>
          <w:p w:rsidR="00994089" w:rsidRDefault="00994089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994089" w:rsidRDefault="00994089" w:rsidP="0029208C">
            <w:pPr>
              <w:jc w:val="both"/>
              <w:rPr>
                <w:szCs w:val="24"/>
              </w:rPr>
            </w:pPr>
          </w:p>
          <w:p w:rsidR="00994089" w:rsidRDefault="00994089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  <w:p w:rsidR="00994089" w:rsidRDefault="00994089" w:rsidP="0029208C">
            <w:pPr>
              <w:jc w:val="both"/>
              <w:rPr>
                <w:szCs w:val="24"/>
              </w:rPr>
            </w:pPr>
          </w:p>
          <w:p w:rsidR="00994089" w:rsidRDefault="00994089" w:rsidP="00CB6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Não se aplica</w:t>
            </w:r>
            <w:r w:rsidR="0029208C">
              <w:rPr>
                <w:szCs w:val="24"/>
              </w:rPr>
              <w:t xml:space="preserve">, </w:t>
            </w:r>
            <w:r w:rsidR="00B721C4">
              <w:rPr>
                <w:szCs w:val="24"/>
              </w:rPr>
              <w:t>pois a resposta ao item 14</w:t>
            </w:r>
            <w:r w:rsidR="0029208C">
              <w:rPr>
                <w:szCs w:val="24"/>
              </w:rPr>
              <w:t>. foi “não”</w:t>
            </w:r>
          </w:p>
        </w:tc>
      </w:tr>
      <w:tr w:rsidR="00994089" w:rsidTr="00CB617F">
        <w:trPr>
          <w:cantSplit/>
        </w:trPr>
        <w:tc>
          <w:tcPr>
            <w:tcW w:w="3510" w:type="dxa"/>
            <w:vAlign w:val="center"/>
          </w:tcPr>
          <w:p w:rsidR="00994089" w:rsidRPr="00F339BB" w:rsidRDefault="00994089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Houve publicidade do resultado das eleições?</w:t>
            </w:r>
          </w:p>
        </w:tc>
        <w:tc>
          <w:tcPr>
            <w:tcW w:w="2764" w:type="dxa"/>
            <w:vAlign w:val="center"/>
          </w:tcPr>
          <w:p w:rsidR="00994089" w:rsidRDefault="00994089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37 da CF</w:t>
            </w:r>
          </w:p>
          <w:p w:rsidR="00994089" w:rsidRDefault="00994089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Publicidade</w:t>
            </w:r>
          </w:p>
        </w:tc>
        <w:tc>
          <w:tcPr>
            <w:tcW w:w="2791" w:type="dxa"/>
            <w:vAlign w:val="center"/>
          </w:tcPr>
          <w:p w:rsidR="00994089" w:rsidRDefault="00994089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  <w:p w:rsidR="00994089" w:rsidRDefault="00994089" w:rsidP="0029208C">
            <w:pPr>
              <w:jc w:val="both"/>
              <w:rPr>
                <w:szCs w:val="24"/>
              </w:rPr>
            </w:pPr>
          </w:p>
          <w:p w:rsidR="00994089" w:rsidRPr="009223A3" w:rsidRDefault="00994089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Fls.</w:t>
            </w:r>
          </w:p>
        </w:tc>
      </w:tr>
      <w:tr w:rsidR="00994089" w:rsidTr="00CB617F">
        <w:trPr>
          <w:cantSplit/>
        </w:trPr>
        <w:tc>
          <w:tcPr>
            <w:tcW w:w="3510" w:type="dxa"/>
            <w:vAlign w:val="center"/>
          </w:tcPr>
          <w:p w:rsidR="00994089" w:rsidRPr="00F339BB" w:rsidRDefault="00994089" w:rsidP="00CB617F">
            <w:pPr>
              <w:pStyle w:val="PargrafodaList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F339BB">
              <w:rPr>
                <w:szCs w:val="24"/>
              </w:rPr>
              <w:t>Houve recursos sobre o resultado das eleições?</w:t>
            </w:r>
          </w:p>
        </w:tc>
        <w:tc>
          <w:tcPr>
            <w:tcW w:w="2764" w:type="dxa"/>
            <w:vAlign w:val="center"/>
          </w:tcPr>
          <w:p w:rsidR="00994089" w:rsidRDefault="00994089" w:rsidP="00C74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Art. 17 da minuta padrão da CLR</w:t>
            </w:r>
          </w:p>
        </w:tc>
        <w:tc>
          <w:tcPr>
            <w:tcW w:w="2791" w:type="dxa"/>
            <w:vAlign w:val="center"/>
          </w:tcPr>
          <w:p w:rsidR="00994089" w:rsidRDefault="00994089" w:rsidP="002920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) Sim   ( ) Não</w:t>
            </w:r>
          </w:p>
        </w:tc>
      </w:tr>
    </w:tbl>
    <w:p w:rsidR="00A0682C" w:rsidRDefault="007D3DC8"/>
    <w:p w:rsidR="00FE58C0" w:rsidRDefault="00FE58C0"/>
    <w:p w:rsidR="00FE58C0" w:rsidRDefault="00FE58C0" w:rsidP="00FE58C0">
      <w:pPr>
        <w:jc w:val="right"/>
      </w:pPr>
      <w:r>
        <w:t>&lt;Local&gt;, &lt;data&gt;</w:t>
      </w:r>
    </w:p>
    <w:p w:rsidR="00FE58C0" w:rsidRDefault="00FE58C0" w:rsidP="00FE58C0">
      <w:pPr>
        <w:jc w:val="right"/>
      </w:pPr>
      <w:r>
        <w:t>______________________</w:t>
      </w:r>
    </w:p>
    <w:p w:rsidR="00FE58C0" w:rsidRDefault="00FE58C0" w:rsidP="00FE58C0">
      <w:pPr>
        <w:jc w:val="right"/>
      </w:pPr>
      <w:r>
        <w:t>&lt;Assinatura&gt;</w:t>
      </w:r>
    </w:p>
    <w:p w:rsidR="00FE58C0" w:rsidRDefault="00FE58C0" w:rsidP="00FE58C0">
      <w:pPr>
        <w:jc w:val="right"/>
      </w:pPr>
      <w:r>
        <w:t>&lt;Nome do responsável pelas informações&gt;</w:t>
      </w:r>
    </w:p>
    <w:p w:rsidR="00FE58C0" w:rsidRDefault="00FE58C0" w:rsidP="00FE58C0">
      <w:pPr>
        <w:jc w:val="right"/>
      </w:pPr>
      <w:r>
        <w:t>&lt;função/cargo do responsável pelas informações&gt;</w:t>
      </w:r>
    </w:p>
    <w:sectPr w:rsidR="00FE58C0" w:rsidSect="007133B1">
      <w:headerReference w:type="default" r:id="rId8"/>
      <w:footerReference w:type="default" r:id="rId9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17" w:rsidRDefault="008B7C17" w:rsidP="00FE58C0">
      <w:pPr>
        <w:spacing w:after="0" w:line="240" w:lineRule="auto"/>
      </w:pPr>
      <w:r>
        <w:separator/>
      </w:r>
    </w:p>
  </w:endnote>
  <w:endnote w:type="continuationSeparator" w:id="0">
    <w:p w:rsidR="008B7C17" w:rsidRDefault="008B7C17" w:rsidP="00FE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18812"/>
      <w:docPartObj>
        <w:docPartGallery w:val="Page Numbers (Bottom of Page)"/>
        <w:docPartUnique/>
      </w:docPartObj>
    </w:sdtPr>
    <w:sdtEndPr/>
    <w:sdtContent>
      <w:p w:rsidR="00FE58C0" w:rsidRDefault="00FE58C0">
        <w:pPr>
          <w:pStyle w:val="Rodap"/>
          <w:jc w:val="right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7D3DC8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7D3DC8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FE58C0" w:rsidRDefault="00FE58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17" w:rsidRDefault="008B7C17" w:rsidP="00FE58C0">
      <w:pPr>
        <w:spacing w:after="0" w:line="240" w:lineRule="auto"/>
      </w:pPr>
      <w:r>
        <w:separator/>
      </w:r>
    </w:p>
  </w:footnote>
  <w:footnote w:type="continuationSeparator" w:id="0">
    <w:p w:rsidR="008B7C17" w:rsidRDefault="008B7C17" w:rsidP="00FE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37" w:rsidRPr="00E46E8E" w:rsidRDefault="002F3B37" w:rsidP="002F3B37">
    <w:pPr>
      <w:pStyle w:val="Cabealho"/>
      <w:jc w:val="center"/>
      <w:rPr>
        <w:sz w:val="20"/>
        <w:szCs w:val="20"/>
      </w:rPr>
    </w:pPr>
    <w:r w:rsidRPr="00E46E8E">
      <w:rPr>
        <w:sz w:val="20"/>
        <w:szCs w:val="20"/>
      </w:rPr>
      <w:t>Anexo do Ofício GR/CIRC/</w:t>
    </w:r>
    <w:r>
      <w:rPr>
        <w:sz w:val="20"/>
        <w:szCs w:val="20"/>
      </w:rPr>
      <w:t>142</w:t>
    </w:r>
    <w:r w:rsidRPr="00E46E8E">
      <w:rPr>
        <w:sz w:val="20"/>
        <w:szCs w:val="20"/>
      </w:rPr>
      <w:t>, de 201</w:t>
    </w:r>
    <w:r>
      <w:rPr>
        <w:sz w:val="20"/>
        <w:szCs w:val="20"/>
      </w:rPr>
      <w:t>9</w:t>
    </w:r>
  </w:p>
  <w:p w:rsidR="002F3B37" w:rsidRDefault="002F3B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0DC"/>
    <w:multiLevelType w:val="multilevel"/>
    <w:tmpl w:val="26F8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EE"/>
    <w:rsid w:val="00080BA6"/>
    <w:rsid w:val="0029208C"/>
    <w:rsid w:val="002B2D92"/>
    <w:rsid w:val="002F3B37"/>
    <w:rsid w:val="0038706B"/>
    <w:rsid w:val="007133B1"/>
    <w:rsid w:val="007B0FFF"/>
    <w:rsid w:val="007D3DC8"/>
    <w:rsid w:val="008971DD"/>
    <w:rsid w:val="008B7C17"/>
    <w:rsid w:val="00913756"/>
    <w:rsid w:val="00966FA6"/>
    <w:rsid w:val="00994089"/>
    <w:rsid w:val="00B721C4"/>
    <w:rsid w:val="00B768EE"/>
    <w:rsid w:val="00BC1CA5"/>
    <w:rsid w:val="00CB617F"/>
    <w:rsid w:val="00E70818"/>
    <w:rsid w:val="00EB4447"/>
    <w:rsid w:val="00F339BB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E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39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E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8C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8C0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E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39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E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8C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8C0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B5"/>
    <w:rsid w:val="006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AA115DEE6CF492F9EC6F0E0DF843B14">
    <w:name w:val="6AA115DEE6CF492F9EC6F0E0DF843B14"/>
    <w:rsid w:val="00694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AA115DEE6CF492F9EC6F0E0DF843B14">
    <w:name w:val="6AA115DEE6CF492F9EC6F0E0DF843B14"/>
    <w:rsid w:val="00694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391D38D1.dotm</Template>
  <TotalTime>17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do Ofício GR/CIRC/404, de 2017.</dc:title>
  <dc:creator>Stephanie Yukie Hayakawa da Costa</dc:creator>
  <cp:lastModifiedBy>Luiza Yoshiko Issomura Yamamoto</cp:lastModifiedBy>
  <cp:revision>3</cp:revision>
  <cp:lastPrinted>2019-04-09T15:19:00Z</cp:lastPrinted>
  <dcterms:created xsi:type="dcterms:W3CDTF">2019-04-09T15:19:00Z</dcterms:created>
  <dcterms:modified xsi:type="dcterms:W3CDTF">2019-04-09T15:36:00Z</dcterms:modified>
</cp:coreProperties>
</file>