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AE" w:rsidRDefault="00AE06AE" w:rsidP="0000712A">
      <w:pPr>
        <w:jc w:val="both"/>
      </w:pPr>
    </w:p>
    <w:p w:rsidR="00AE06AE" w:rsidRDefault="00AE06AE" w:rsidP="0000712A">
      <w:pPr>
        <w:ind w:left="-993"/>
        <w:jc w:val="both"/>
      </w:pPr>
    </w:p>
    <w:p w:rsidR="00E75580" w:rsidRPr="00E75580" w:rsidRDefault="00E75580" w:rsidP="00E75580">
      <w:pPr>
        <w:shd w:val="clear" w:color="auto" w:fill="FFFFFF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</w:pPr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O novo 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Institut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Polytechnique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de Paris, que reúne cinco importantes escolas de engenharia francesas (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Ecole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polytechnique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, ENSAE Paris, ENSTA Paris, Telecom Paris e Telecom </w:t>
      </w:r>
      <w:proofErr w:type="spellStart"/>
      <w:proofErr w:type="gram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SudParis</w:t>
      </w:r>
      <w:proofErr w:type="spellEnd"/>
      <w:proofErr w:type="gram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) em torno de uma ambição compartilhada: criar um instituto de classe mundial a serviço de programas de pesquisa de vanguarda e formação de excelência. Graças à experiência, à história bicentenária e a ancoragem destas cinco escolas fundadoras, IP Paris posiciona-se como uma instituição líder em ensino e pesquisa na França e internacionalmente.</w:t>
      </w:r>
    </w:p>
    <w:p w:rsidR="00E75580" w:rsidRPr="00E75580" w:rsidRDefault="00E75580" w:rsidP="00E75580">
      <w:pPr>
        <w:shd w:val="clear" w:color="auto" w:fill="FFFFFF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</w:pPr>
    </w:p>
    <w:p w:rsidR="00E75580" w:rsidRPr="00E75580" w:rsidRDefault="00E75580" w:rsidP="00E75580">
      <w:pPr>
        <w:shd w:val="clear" w:color="auto" w:fill="FFFFFF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Anuncia</w:t>
      </w:r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a implementação de um novo programa internacional de admissão para os </w:t>
      </w:r>
      <w:proofErr w:type="spellStart"/>
      <w:r w:rsidRPr="00E75580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pt-BR"/>
        </w:rPr>
        <w:t>diplômes</w:t>
      </w:r>
      <w:proofErr w:type="spellEnd"/>
      <w:r w:rsidRPr="00E75580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pt-BR"/>
        </w:rPr>
        <w:t xml:space="preserve"> d’</w:t>
      </w:r>
      <w:proofErr w:type="spellStart"/>
      <w:r w:rsidRPr="00E75580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pt-BR"/>
        </w:rPr>
        <w:t>ingénieur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 das </w:t>
      </w:r>
      <w:proofErr w:type="gram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5</w:t>
      </w:r>
      <w:proofErr w:type="gram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escolas do 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Institut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</w:t>
      </w:r>
      <w:proofErr w:type="spell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Polytechnique</w:t>
      </w:r>
      <w:proofErr w:type="spell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de Paris.</w:t>
      </w:r>
    </w:p>
    <w:p w:rsidR="00E75580" w:rsidRPr="00E75580" w:rsidRDefault="00E75580" w:rsidP="00E75580">
      <w:pPr>
        <w:shd w:val="clear" w:color="auto" w:fill="FFFFFF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</w:pPr>
    </w:p>
    <w:p w:rsidR="00E75580" w:rsidRPr="00E75580" w:rsidRDefault="00E75580" w:rsidP="00E75580">
      <w:pPr>
        <w:shd w:val="clear" w:color="auto" w:fill="FFFFFF"/>
        <w:spacing w:after="0" w:line="240" w:lineRule="auto"/>
        <w:ind w:left="46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</w:pPr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Você encontrará no 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abaixo, </w:t>
      </w:r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os princípios deste novo programa, que permite que estudantes internacionais se candidatem simultaneamente a </w:t>
      </w:r>
      <w:proofErr w:type="gramStart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>5</w:t>
      </w:r>
      <w:proofErr w:type="gramEnd"/>
      <w:r w:rsidRPr="00E75580">
        <w:rPr>
          <w:rFonts w:ascii="Times New Roman" w:eastAsia="Times New Roman" w:hAnsi="Times New Roman" w:cs="Times New Roman"/>
          <w:color w:val="000099"/>
          <w:sz w:val="28"/>
          <w:szCs w:val="28"/>
          <w:lang w:eastAsia="pt-BR"/>
        </w:rPr>
        <w:t xml:space="preserve"> programas de engenharia que estão entre os melhores e mais seletivos da França.</w:t>
      </w:r>
    </w:p>
    <w:p w:rsidR="00E75580" w:rsidRPr="00E75580" w:rsidRDefault="00E75580" w:rsidP="0000712A">
      <w:pPr>
        <w:ind w:left="-993"/>
        <w:jc w:val="both"/>
        <w:rPr>
          <w:sz w:val="28"/>
          <w:szCs w:val="28"/>
        </w:rPr>
      </w:pPr>
    </w:p>
    <w:tbl>
      <w:tblPr>
        <w:tblW w:w="19557" w:type="dxa"/>
        <w:tblCellMar>
          <w:left w:w="0" w:type="dxa"/>
          <w:right w:w="0" w:type="dxa"/>
        </w:tblCellMar>
        <w:tblLook w:val="04A0"/>
      </w:tblPr>
      <w:tblGrid>
        <w:gridCol w:w="19545"/>
        <w:gridCol w:w="6"/>
        <w:gridCol w:w="6"/>
      </w:tblGrid>
      <w:tr w:rsidR="00AE06AE" w:rsidRPr="00AE06AE" w:rsidTr="00AE06AE">
        <w:trPr>
          <w:trHeight w:val="1674"/>
        </w:trPr>
        <w:tc>
          <w:tcPr>
            <w:tcW w:w="0" w:type="auto"/>
            <w:shd w:val="clear" w:color="auto" w:fill="FFFFFF"/>
            <w:hideMark/>
          </w:tcPr>
          <w:p w:rsidR="0000712A" w:rsidRPr="0000712A" w:rsidRDefault="0000712A" w:rsidP="0000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u w:val="single"/>
                <w:lang w:eastAsia="pt-BR"/>
              </w:rPr>
            </w:pPr>
            <w:r w:rsidRPr="0000712A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u w:val="single"/>
                <w:lang w:eastAsia="pt-BR"/>
              </w:rPr>
              <w:t xml:space="preserve">Programa Internacional de Admissão – </w:t>
            </w:r>
            <w:proofErr w:type="spellStart"/>
            <w:r w:rsidRPr="0000712A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u w:val="single"/>
                <w:lang w:eastAsia="pt-BR"/>
              </w:rPr>
              <w:t>Institut</w:t>
            </w:r>
            <w:proofErr w:type="spellEnd"/>
            <w:r w:rsidRPr="0000712A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u w:val="single"/>
                <w:lang w:eastAsia="pt-BR"/>
              </w:rPr>
              <w:t xml:space="preserve"> </w:t>
            </w:r>
            <w:proofErr w:type="spellStart"/>
            <w:r w:rsidRPr="0000712A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u w:val="single"/>
                <w:lang w:eastAsia="pt-BR"/>
              </w:rPr>
              <w:t>Polytechnique</w:t>
            </w:r>
            <w:proofErr w:type="spellEnd"/>
          </w:p>
          <w:p w:rsidR="0000712A" w:rsidRDefault="0000712A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O programa internacional de admissão é baseado nos seguintes princípios:</w:t>
            </w:r>
          </w:p>
          <w:p w:rsidR="00AE06AE" w:rsidRPr="00AE06AE" w:rsidRDefault="00AE06AE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Um aluno se inscreve em um único site de candidatura </w:t>
            </w:r>
          </w:p>
          <w:p w:rsidR="00AE06AE" w:rsidRPr="00AE06AE" w:rsidRDefault="00AE06AE" w:rsidP="0000712A">
            <w:pPr>
              <w:pStyle w:val="PargrafodaLista"/>
              <w:spacing w:after="0" w:line="240" w:lineRule="auto"/>
              <w:ind w:left="119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(online em abril, </w:t>
            </w:r>
            <w:r w:rsidRPr="00AE06AE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pt-BR"/>
              </w:rPr>
              <w:t>data a ser especificada</w:t>
            </w: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).</w:t>
            </w:r>
          </w:p>
          <w:p w:rsidR="00AE06AE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Cada escola define sua própria lista de alunos elegíveis.</w:t>
            </w:r>
          </w:p>
          <w:p w:rsidR="00AE06AE" w:rsidRPr="00AE06AE" w:rsidRDefault="00AE06AE" w:rsidP="0000712A">
            <w:pPr>
              <w:pStyle w:val="PargrafodaLista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00712A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Os alunos elegíveis de pelo menos uma escola são convidados para os </w:t>
            </w:r>
          </w:p>
          <w:p w:rsidR="00AE06AE" w:rsidRPr="00AE06AE" w:rsidRDefault="0000712A" w:rsidP="0000712A">
            <w:pPr>
              <w:pStyle w:val="PargrafodaLista"/>
              <w:spacing w:after="0" w:line="240" w:lineRule="auto"/>
              <w:ind w:left="119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T</w:t>
            </w:r>
            <w:r w:rsidR="00AE06AE"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estes</w:t>
            </w: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r w:rsidR="00AE06AE"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de seleção.</w:t>
            </w:r>
          </w:p>
          <w:p w:rsidR="00AE06AE" w:rsidRDefault="00AE06AE" w:rsidP="0000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Os testes de seleção incluem:</w:t>
            </w:r>
          </w:p>
          <w:p w:rsidR="00AE06AE" w:rsidRDefault="00AE06AE" w:rsidP="00007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Testes escritos, organizados ao longo de um dia,</w:t>
            </w:r>
          </w:p>
          <w:p w:rsidR="00AE06AE" w:rsidRDefault="00AE06AE" w:rsidP="0000712A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Provas orais, organizadas para cada candidato durante uma manhã ou</w:t>
            </w:r>
          </w:p>
          <w:p w:rsidR="00AE06AE" w:rsidRDefault="00AE06AE" w:rsidP="0000712A">
            <w:pPr>
              <w:pStyle w:val="PargrafodaLista"/>
              <w:spacing w:after="0" w:line="240" w:lineRule="auto"/>
              <w:ind w:left="155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uma</w:t>
            </w:r>
            <w:proofErr w:type="gramEnd"/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tarde. </w:t>
            </w:r>
          </w:p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Após estes testes de seleção, os candidatos são convidados a ordenar as </w:t>
            </w:r>
          </w:p>
          <w:p w:rsidR="00AE06AE" w:rsidRPr="00AE06AE" w:rsidRDefault="00AE06AE" w:rsidP="0000712A">
            <w:pPr>
              <w:pStyle w:val="PargrafodaLista"/>
              <w:spacing w:after="0" w:line="240" w:lineRule="auto"/>
              <w:ind w:left="119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escolas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para as quais são elegíveis, de acordo </w:t>
            </w:r>
          </w:p>
          <w:p w:rsidR="00AE06AE" w:rsidRDefault="00AE06AE" w:rsidP="0000712A">
            <w:pPr>
              <w:spacing w:after="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             </w:t>
            </w: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com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a preferência.</w:t>
            </w:r>
          </w:p>
          <w:p w:rsidR="00AE06AE" w:rsidRDefault="00AE06AE" w:rsidP="0000712A">
            <w:pPr>
              <w:spacing w:after="0" w:line="240" w:lineRule="auto"/>
              <w:ind w:left="237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Cada aluno recebe uma decisão de admissão para apenas uma escola, </w:t>
            </w:r>
          </w:p>
          <w:p w:rsidR="00AE06AE" w:rsidRDefault="00AE06AE" w:rsidP="0000712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lastRenderedPageBreak/>
              <w:t xml:space="preserve">                  </w:t>
            </w: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se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for admitido.</w:t>
            </w:r>
          </w:p>
          <w:p w:rsidR="00B220BF" w:rsidRDefault="00B220BF" w:rsidP="0000712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B220BF" w:rsidRPr="00AE06AE" w:rsidRDefault="00B220BF" w:rsidP="0000712A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</w:p>
          <w:p w:rsidR="00AE06AE" w:rsidRDefault="00AE06AE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pt-BR"/>
              </w:rPr>
              <w:t>As principais datas previstas deste programa são as seguintes:</w:t>
            </w:r>
          </w:p>
          <w:p w:rsidR="001F32D7" w:rsidRPr="00AE06AE" w:rsidRDefault="001F32D7" w:rsidP="0000712A">
            <w:pPr>
              <w:spacing w:after="0" w:line="240" w:lineRule="auto"/>
              <w:ind w:left="238"/>
              <w:jc w:val="both"/>
              <w:rPr>
                <w:rFonts w:ascii="Times New Roman" w:eastAsia="Times New Roman" w:hAnsi="Times New Roman" w:cs="Times New Roman"/>
                <w:b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</w:pPr>
            <w:r w:rsidRPr="00AE06AE">
              <w:rPr>
                <w:rFonts w:ascii="Symbol" w:eastAsia="Times New Roman" w:hAnsi="Symbol" w:cs="Arial"/>
                <w:color w:val="000099"/>
                <w:sz w:val="24"/>
                <w:szCs w:val="24"/>
                <w:lang w:eastAsia="pt-BR"/>
              </w:rPr>
              <w:t></w:t>
            </w:r>
            <w:r w:rsidRPr="00AE06AE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pt-BR"/>
              </w:rPr>
              <w:t>         </w:t>
            </w:r>
            <w:r w:rsidRPr="00AE06AE"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  <w:t>Data de encerramento das inscrições online: 20 de setembro de 2020</w:t>
            </w:r>
          </w:p>
          <w:p w:rsidR="00AE06AE" w:rsidRPr="00AE06AE" w:rsidRDefault="00AE06AE" w:rsidP="000071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</w:pPr>
            <w:r w:rsidRPr="00AE06AE">
              <w:rPr>
                <w:rFonts w:ascii="Symbol" w:eastAsia="Times New Roman" w:hAnsi="Symbol" w:cs="Arial"/>
                <w:i/>
                <w:color w:val="000099"/>
                <w:sz w:val="24"/>
                <w:szCs w:val="24"/>
                <w:lang w:eastAsia="pt-BR"/>
              </w:rPr>
              <w:t></w:t>
            </w:r>
            <w:r w:rsidRPr="00AE06AE"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  <w:lang w:eastAsia="pt-BR"/>
              </w:rPr>
              <w:t>         </w:t>
            </w:r>
            <w:r w:rsidRPr="00AE06AE"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  <w:t>Convite dos alunos elegíveis para os exames escritos e orais: início de outubro</w:t>
            </w:r>
          </w:p>
          <w:p w:rsidR="00AE06AE" w:rsidRPr="00AE06AE" w:rsidRDefault="00AE06AE" w:rsidP="000071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</w:pPr>
            <w:r w:rsidRPr="00AE06AE">
              <w:rPr>
                <w:rFonts w:ascii="Symbol" w:eastAsia="Times New Roman" w:hAnsi="Symbol" w:cs="Arial"/>
                <w:i/>
                <w:color w:val="000099"/>
                <w:sz w:val="24"/>
                <w:szCs w:val="24"/>
                <w:lang w:eastAsia="pt-BR"/>
              </w:rPr>
              <w:t></w:t>
            </w:r>
            <w:r w:rsidRPr="00AE06AE"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  <w:lang w:eastAsia="pt-BR"/>
              </w:rPr>
              <w:t>         </w:t>
            </w:r>
            <w:r w:rsidRPr="00AE06AE"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  <w:t>Provas escritas: semana de 19 de outubro ou semana de 26 de outubro</w:t>
            </w:r>
          </w:p>
          <w:p w:rsidR="00AE06AE" w:rsidRPr="00AE06AE" w:rsidRDefault="00AE06AE" w:rsidP="000071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</w:pPr>
            <w:r w:rsidRPr="00AE06AE">
              <w:rPr>
                <w:rFonts w:ascii="Symbol" w:eastAsia="Times New Roman" w:hAnsi="Symbol" w:cs="Arial"/>
                <w:i/>
                <w:color w:val="000099"/>
                <w:sz w:val="24"/>
                <w:szCs w:val="24"/>
                <w:lang w:eastAsia="pt-BR"/>
              </w:rPr>
              <w:t></w:t>
            </w:r>
            <w:r w:rsidRPr="00AE06AE"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  <w:lang w:eastAsia="pt-BR"/>
              </w:rPr>
              <w:t>         </w:t>
            </w:r>
            <w:r w:rsidRPr="00AE06AE"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  <w:t>Provas orais: semana de 19 de outubro ou semana de 26 de outubro</w:t>
            </w:r>
          </w:p>
          <w:p w:rsidR="00AE06AE" w:rsidRDefault="00AE06AE" w:rsidP="000071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</w:pPr>
            <w:r w:rsidRPr="00AE06AE">
              <w:rPr>
                <w:rFonts w:ascii="Symbol" w:eastAsia="Times New Roman" w:hAnsi="Symbol" w:cs="Arial"/>
                <w:i/>
                <w:color w:val="000099"/>
                <w:sz w:val="24"/>
                <w:szCs w:val="24"/>
                <w:lang w:eastAsia="pt-BR"/>
              </w:rPr>
              <w:t></w:t>
            </w:r>
            <w:r w:rsidRPr="00AE06AE">
              <w:rPr>
                <w:rFonts w:ascii="Times New Roman" w:eastAsia="Times New Roman" w:hAnsi="Times New Roman" w:cs="Times New Roman"/>
                <w:i/>
                <w:color w:val="000099"/>
                <w:sz w:val="24"/>
                <w:szCs w:val="24"/>
                <w:lang w:eastAsia="pt-BR"/>
              </w:rPr>
              <w:t>         </w:t>
            </w:r>
            <w:r w:rsidRPr="00AE06AE">
              <w:rPr>
                <w:rFonts w:ascii="Arial" w:eastAsia="Times New Roman" w:hAnsi="Arial" w:cs="Arial"/>
                <w:i/>
                <w:color w:val="000099"/>
                <w:sz w:val="24"/>
                <w:szCs w:val="24"/>
                <w:lang w:eastAsia="pt-BR"/>
              </w:rPr>
              <w:t>Publicação dos resultados das admissões: final de novembro de 2020</w:t>
            </w:r>
          </w:p>
          <w:p w:rsidR="00AE06AE" w:rsidRDefault="00AE06AE" w:rsidP="00B2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Para as 3 escolas ENSAE Paris, ENSTA Paris e Telecom Paris, este novo programa</w:t>
            </w:r>
          </w:p>
          <w:p w:rsidR="00B220BF" w:rsidRDefault="00AE06AE" w:rsidP="00B220B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internacional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de admissão substitui os programas de seleção de alunos </w:t>
            </w:r>
          </w:p>
          <w:p w:rsidR="00AE06AE" w:rsidRDefault="00AE06AE" w:rsidP="00B220B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anteriormente</w:t>
            </w:r>
            <w:proofErr w:type="gramEnd"/>
            <w:r w:rsidR="00B220BF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em vigor no âmbito do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ParisTe</w:t>
            </w: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. Também substitui o concurso:</w:t>
            </w:r>
          </w:p>
          <w:p w:rsidR="00B220BF" w:rsidRDefault="00AE06AE" w:rsidP="00B220B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"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Filière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Universitaire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Internationale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da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Ecole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Polytechnique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,</w:t>
            </w:r>
          </w:p>
          <w:p w:rsidR="00B220BF" w:rsidRDefault="00AE06AE" w:rsidP="00B220B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do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qual assume a organização geral. A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afectação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dos candidatos a uma escola</w:t>
            </w:r>
          </w:p>
          <w:p w:rsidR="00AE06AE" w:rsidRPr="00AE06AE" w:rsidRDefault="00AE06AE" w:rsidP="00B220B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</w:pPr>
            <w:proofErr w:type="gram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é</w:t>
            </w:r>
            <w:proofErr w:type="gram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 xml:space="preserve"> semelhante à que foi estabelecida no âmbito do </w:t>
            </w:r>
            <w:proofErr w:type="spellStart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ParisTech</w:t>
            </w:r>
            <w:proofErr w:type="spellEnd"/>
            <w:r w:rsidRPr="00AE06AE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pt-BR"/>
              </w:rPr>
              <w:t>.</w:t>
            </w:r>
          </w:p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sz w:val="28"/>
                <w:szCs w:val="28"/>
                <w:lang w:eastAsia="pt-BR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1F1F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6"/>
              <w:gridCol w:w="4121"/>
            </w:tblGrid>
            <w:tr w:rsidR="00AE06AE" w:rsidRPr="00AE06AE" w:rsidTr="00AE06AE">
              <w:trPr>
                <w:tblCellSpacing w:w="15" w:type="dxa"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E06AE" w:rsidRPr="00AE06AE" w:rsidRDefault="00AE06AE" w:rsidP="000071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sz w:val="28"/>
                      <w:szCs w:val="28"/>
                      <w:lang w:eastAsia="pt-BR"/>
                    </w:rPr>
                  </w:pPr>
                  <w:r w:rsidRPr="00AE06AE">
                    <w:rPr>
                      <w:rFonts w:ascii="Helvetica" w:eastAsia="Times New Roman" w:hAnsi="Helvetica" w:cs="Helvetica"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861060" cy="1329055"/>
                        <wp:effectExtent l="19050" t="0" r="0" b="0"/>
                        <wp:docPr id="1" name="Imagem 1" descr="Télécom Paris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élécom Paris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1060" cy="1329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AE06AE" w:rsidRPr="00AE06AE" w:rsidRDefault="00AE06AE" w:rsidP="0000712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val="en-US" w:eastAsia="pt-BR"/>
                    </w:rPr>
                  </w:pPr>
                  <w:r w:rsidRPr="00AE06AE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val="en-US" w:eastAsia="pt-BR"/>
                    </w:rPr>
                    <w:t>Dr. </w:t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8"/>
                      <w:szCs w:val="28"/>
                      <w:lang w:val="en-US" w:eastAsia="pt-BR"/>
                    </w:rPr>
                    <w:t>Jean-François NAVINER</w:t>
                  </w:r>
                  <w:r w:rsidRPr="00AE06AE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val="en-US" w:eastAsia="pt-BR"/>
                    </w:rPr>
                    <w:br/>
                    <w:t>Director of international relations</w:t>
                  </w:r>
                  <w:r w:rsidRPr="00AE06AE">
                    <w:rPr>
                      <w:rFonts w:ascii="Arial" w:eastAsia="Times New Roman" w:hAnsi="Arial" w:cs="Arial"/>
                      <w:color w:val="555555"/>
                      <w:sz w:val="28"/>
                      <w:szCs w:val="28"/>
                      <w:lang w:val="en-US" w:eastAsia="pt-BR"/>
                    </w:rPr>
                    <w:br/>
                    <w:t>01 75 31 94 24 - 06 47 58 31 19</w:t>
                  </w:r>
                </w:p>
                <w:p w:rsidR="00AE06AE" w:rsidRPr="00AE06AE" w:rsidRDefault="00AE06AE" w:rsidP="0000712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</w:pP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val="en-US" w:eastAsia="pt-BR"/>
                    </w:rPr>
                    <w:br/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 xml:space="preserve">19 </w:t>
                  </w:r>
                  <w:proofErr w:type="spellStart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>place</w:t>
                  </w:r>
                  <w:proofErr w:type="spellEnd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 xml:space="preserve"> Marguerite </w:t>
                  </w:r>
                  <w:proofErr w:type="spellStart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>Perey</w:t>
                  </w:r>
                  <w:proofErr w:type="spellEnd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br/>
                    <w:t xml:space="preserve">91120 </w:t>
                  </w:r>
                  <w:proofErr w:type="spellStart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>Palaiseau</w:t>
                  </w:r>
                  <w:proofErr w:type="spellEnd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 xml:space="preserve"> - France</w:t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br/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2" name="Imagem 2" descr="Site web Télécom Paris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te web Télécom Paris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3" name="Imagem 3" descr="Twitter Télécom Paris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witter Télécom Paris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4" name="Imagem 4" descr="Facebook Télécom Paris">
                          <a:hlinkClick xmlns:a="http://schemas.openxmlformats.org/drawingml/2006/main" r:id="rId1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acebook Télécom Paris">
                                  <a:hlinkClick r:id="rId1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5" name="Imagem 5" descr="LinkedIn Télécom Paris">
                          <a:hlinkClick xmlns:a="http://schemas.openxmlformats.org/drawingml/2006/main" r:id="rId1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inkedIn Télécom Paris">
                                  <a:hlinkClick r:id="rId1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6" name="Imagem 6" descr="Instagram Télécom Paris">
                          <a:hlinkClick xmlns:a="http://schemas.openxmlformats.org/drawingml/2006/main" r:id="rId1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nstagram Télécom Paris">
                                  <a:hlinkClick r:id="rId1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noProof/>
                      <w:color w:val="1155CC"/>
                      <w:sz w:val="28"/>
                      <w:szCs w:val="28"/>
                      <w:lang w:eastAsia="pt-BR"/>
                    </w:rPr>
                    <w:drawing>
                      <wp:inline distT="0" distB="0" distL="0" distR="0">
                        <wp:extent cx="223520" cy="223520"/>
                        <wp:effectExtent l="0" t="0" r="5080" b="0"/>
                        <wp:docPr id="7" name="Imagem 7" descr="Blog Télécom Paris">
                          <a:hlinkClick xmlns:a="http://schemas.openxmlformats.org/drawingml/2006/main" r:id="rId1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log Télécom Paris">
                                  <a:hlinkClick r:id="rId1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52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br/>
                    <w:t xml:space="preserve">Une </w:t>
                  </w:r>
                  <w:proofErr w:type="spellStart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>école</w:t>
                  </w:r>
                  <w:proofErr w:type="spellEnd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t xml:space="preserve"> de </w:t>
                  </w:r>
                  <w:proofErr w:type="spellStart"/>
                  <w:r w:rsidR="00F25BB7"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fldChar w:fldCharType="begin"/>
                  </w:r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instrText xml:space="preserve"> HYPERLINK "https://www.imt.fr/" \t "_blank" </w:instrText>
                  </w:r>
                  <w:r w:rsidR="00F25BB7"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fldChar w:fldCharType="separate"/>
                  </w:r>
                  <w:proofErr w:type="gramStart"/>
                  <w:r w:rsidRPr="00AE06AE">
                    <w:rPr>
                      <w:rFonts w:ascii="Arial" w:eastAsia="Times New Roman" w:hAnsi="Arial" w:cs="Arial"/>
                      <w:b/>
                      <w:bCs/>
                      <w:color w:val="1155CC"/>
                      <w:sz w:val="28"/>
                      <w:szCs w:val="28"/>
                      <w:u w:val="single"/>
                      <w:lang w:eastAsia="pt-BR"/>
                    </w:rPr>
                    <w:t>l'IMT</w:t>
                  </w:r>
                  <w:proofErr w:type="spellEnd"/>
                  <w:proofErr w:type="gramEnd"/>
                  <w:r w:rsidR="00F25BB7" w:rsidRPr="00AE06AE">
                    <w:rPr>
                      <w:rFonts w:ascii="Arial" w:eastAsia="Times New Roman" w:hAnsi="Arial" w:cs="Arial"/>
                      <w:b/>
                      <w:bCs/>
                      <w:color w:val="888888"/>
                      <w:sz w:val="28"/>
                      <w:szCs w:val="28"/>
                      <w:lang w:eastAsia="pt-BR"/>
                    </w:rPr>
                    <w:fldChar w:fldCharType="end"/>
                  </w:r>
                </w:p>
              </w:tc>
            </w:tr>
          </w:tbl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sz w:val="28"/>
                <w:szCs w:val="28"/>
                <w:lang w:eastAsia="pt-BR"/>
              </w:rPr>
            </w:pPr>
          </w:p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99"/>
                <w:sz w:val="28"/>
                <w:szCs w:val="28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9"/>
              <w:gridCol w:w="18084"/>
            </w:tblGrid>
            <w:tr w:rsidR="00AE06AE" w:rsidRPr="00AE06AE" w:rsidTr="00AE06AE">
              <w:tc>
                <w:tcPr>
                  <w:tcW w:w="1169" w:type="dxa"/>
                  <w:tcMar>
                    <w:top w:w="0" w:type="dxa"/>
                    <w:left w:w="268" w:type="dxa"/>
                    <w:bottom w:w="0" w:type="dxa"/>
                    <w:right w:w="268" w:type="dxa"/>
                  </w:tcMar>
                  <w:hideMark/>
                </w:tcPr>
                <w:p w:rsidR="00AE06AE" w:rsidRPr="00AE06AE" w:rsidRDefault="00AE06AE" w:rsidP="0000712A">
                  <w:pPr>
                    <w:spacing w:after="0" w:line="240" w:lineRule="auto"/>
                    <w:jc w:val="both"/>
                    <w:rPr>
                      <w:rFonts w:ascii="Helvetica" w:eastAsia="Times New Roman" w:hAnsi="Helvetica" w:cs="Helvetica"/>
                      <w:sz w:val="28"/>
                      <w:szCs w:val="28"/>
                      <w:lang w:eastAsia="pt-BR"/>
                    </w:rPr>
                  </w:pPr>
                </w:p>
              </w:tc>
              <w:tc>
                <w:tcPr>
                  <w:tcW w:w="180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E06AE" w:rsidRPr="00AE06AE" w:rsidRDefault="00AE06AE" w:rsidP="0000712A">
                  <w:pPr>
                    <w:shd w:val="clear" w:color="auto" w:fill="FFFFFF"/>
                    <w:tabs>
                      <w:tab w:val="left" w:pos="13616"/>
                    </w:tabs>
                    <w:spacing w:after="0" w:line="33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8"/>
                      <w:szCs w:val="28"/>
                      <w:lang w:eastAsia="pt-BR"/>
                    </w:rPr>
                  </w:pPr>
                </w:p>
              </w:tc>
            </w:tr>
          </w:tbl>
          <w:p w:rsidR="00AE06AE" w:rsidRPr="00AE06AE" w:rsidRDefault="00F25BB7" w:rsidP="0000712A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color w:val="222222"/>
                <w:spacing w:val="5"/>
                <w:sz w:val="28"/>
                <w:szCs w:val="28"/>
                <w:lang w:eastAsia="pt-BR"/>
              </w:rPr>
            </w:pPr>
            <w:r w:rsidRPr="00AE06AE">
              <w:rPr>
                <w:rFonts w:ascii="Helvetica" w:eastAsia="Times New Roman" w:hAnsi="Helvetica" w:cs="Helvetica"/>
                <w:color w:val="5F6368"/>
                <w:spacing w:val="5"/>
                <w:sz w:val="28"/>
                <w:szCs w:val="28"/>
                <w:lang w:eastAsia="pt-BR"/>
              </w:rPr>
              <w:fldChar w:fldCharType="begin"/>
            </w:r>
            <w:r w:rsidR="00AE06AE" w:rsidRPr="00AE06AE">
              <w:rPr>
                <w:rFonts w:ascii="Helvetica" w:eastAsia="Times New Roman" w:hAnsi="Helvetica" w:cs="Helvetica"/>
                <w:color w:val="5F6368"/>
                <w:spacing w:val="5"/>
                <w:sz w:val="28"/>
                <w:szCs w:val="28"/>
                <w:lang w:eastAsia="pt-BR"/>
              </w:rPr>
              <w:instrText xml:space="preserve"> HYPERLINK "https://www.google.com/" \t "_blank" </w:instrText>
            </w:r>
            <w:r w:rsidRPr="00AE06AE">
              <w:rPr>
                <w:rFonts w:ascii="Helvetica" w:eastAsia="Times New Roman" w:hAnsi="Helvetica" w:cs="Helvetica"/>
                <w:color w:val="5F6368"/>
                <w:spacing w:val="5"/>
                <w:sz w:val="28"/>
                <w:szCs w:val="28"/>
                <w:lang w:eastAsia="pt-BR"/>
              </w:rPr>
              <w:fldChar w:fldCharType="separate"/>
            </w:r>
          </w:p>
          <w:p w:rsidR="00AE06AE" w:rsidRPr="00AE06AE" w:rsidRDefault="00F25BB7" w:rsidP="0000712A">
            <w:pPr>
              <w:spacing w:line="335" w:lineRule="atLeast"/>
              <w:jc w:val="both"/>
              <w:rPr>
                <w:rFonts w:ascii="Times New Roman" w:eastAsia="Times New Roman" w:hAnsi="Times New Roman" w:cs="Times New Roman"/>
                <w:color w:val="5F6368"/>
                <w:sz w:val="28"/>
                <w:szCs w:val="28"/>
                <w:lang w:eastAsia="pt-BR"/>
              </w:rPr>
            </w:pPr>
            <w:r w:rsidRPr="00AE06AE">
              <w:rPr>
                <w:rFonts w:ascii="Helvetica" w:eastAsia="Times New Roman" w:hAnsi="Helvetica" w:cs="Helvetica"/>
                <w:color w:val="5F6368"/>
                <w:spacing w:val="5"/>
                <w:sz w:val="28"/>
                <w:szCs w:val="28"/>
                <w:lang w:eastAsia="pt-BR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lang w:eastAsia="pt-BR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:rsidR="00AE06AE" w:rsidRPr="00AE06AE" w:rsidRDefault="00AE06AE" w:rsidP="0000712A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sz w:val="28"/>
                <w:szCs w:val="28"/>
                <w:lang w:eastAsia="pt-BR"/>
              </w:rPr>
            </w:pPr>
          </w:p>
        </w:tc>
      </w:tr>
    </w:tbl>
    <w:p w:rsidR="004D00C9" w:rsidRPr="00AE06AE" w:rsidRDefault="004D00C9" w:rsidP="0000712A">
      <w:pPr>
        <w:jc w:val="both"/>
        <w:rPr>
          <w:sz w:val="28"/>
          <w:szCs w:val="28"/>
        </w:rPr>
      </w:pPr>
    </w:p>
    <w:sectPr w:rsidR="004D00C9" w:rsidRPr="00AE06AE" w:rsidSect="00AE0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95D"/>
    <w:multiLevelType w:val="hybridMultilevel"/>
    <w:tmpl w:val="09EACBD4"/>
    <w:lvl w:ilvl="0" w:tplc="11D8E552">
      <w:start w:val="1"/>
      <w:numFmt w:val="lowerLetter"/>
      <w:lvlText w:val="%1."/>
      <w:lvlJc w:val="left"/>
      <w:pPr>
        <w:ind w:left="15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7" w:hanging="360"/>
      </w:pPr>
    </w:lvl>
    <w:lvl w:ilvl="2" w:tplc="0416001B" w:tentative="1">
      <w:start w:val="1"/>
      <w:numFmt w:val="lowerRoman"/>
      <w:lvlText w:val="%3."/>
      <w:lvlJc w:val="right"/>
      <w:pPr>
        <w:ind w:left="2997" w:hanging="180"/>
      </w:pPr>
    </w:lvl>
    <w:lvl w:ilvl="3" w:tplc="0416000F" w:tentative="1">
      <w:start w:val="1"/>
      <w:numFmt w:val="decimal"/>
      <w:lvlText w:val="%4."/>
      <w:lvlJc w:val="left"/>
      <w:pPr>
        <w:ind w:left="3717" w:hanging="360"/>
      </w:pPr>
    </w:lvl>
    <w:lvl w:ilvl="4" w:tplc="04160019" w:tentative="1">
      <w:start w:val="1"/>
      <w:numFmt w:val="lowerLetter"/>
      <w:lvlText w:val="%5."/>
      <w:lvlJc w:val="left"/>
      <w:pPr>
        <w:ind w:left="4437" w:hanging="360"/>
      </w:pPr>
    </w:lvl>
    <w:lvl w:ilvl="5" w:tplc="0416001B" w:tentative="1">
      <w:start w:val="1"/>
      <w:numFmt w:val="lowerRoman"/>
      <w:lvlText w:val="%6."/>
      <w:lvlJc w:val="right"/>
      <w:pPr>
        <w:ind w:left="5157" w:hanging="180"/>
      </w:pPr>
    </w:lvl>
    <w:lvl w:ilvl="6" w:tplc="0416000F" w:tentative="1">
      <w:start w:val="1"/>
      <w:numFmt w:val="decimal"/>
      <w:lvlText w:val="%7."/>
      <w:lvlJc w:val="left"/>
      <w:pPr>
        <w:ind w:left="5877" w:hanging="360"/>
      </w:pPr>
    </w:lvl>
    <w:lvl w:ilvl="7" w:tplc="04160019" w:tentative="1">
      <w:start w:val="1"/>
      <w:numFmt w:val="lowerLetter"/>
      <w:lvlText w:val="%8."/>
      <w:lvlJc w:val="left"/>
      <w:pPr>
        <w:ind w:left="6597" w:hanging="360"/>
      </w:pPr>
    </w:lvl>
    <w:lvl w:ilvl="8" w:tplc="0416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36190E05"/>
    <w:multiLevelType w:val="hybridMultilevel"/>
    <w:tmpl w:val="81703B20"/>
    <w:lvl w:ilvl="0" w:tplc="A74EFC58">
      <w:start w:val="1"/>
      <w:numFmt w:val="decimal"/>
      <w:lvlText w:val="%1."/>
      <w:lvlJc w:val="left"/>
      <w:pPr>
        <w:ind w:left="1197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7" w:hanging="360"/>
      </w:pPr>
    </w:lvl>
    <w:lvl w:ilvl="2" w:tplc="0416001B" w:tentative="1">
      <w:start w:val="1"/>
      <w:numFmt w:val="lowerRoman"/>
      <w:lvlText w:val="%3."/>
      <w:lvlJc w:val="right"/>
      <w:pPr>
        <w:ind w:left="2037" w:hanging="180"/>
      </w:pPr>
    </w:lvl>
    <w:lvl w:ilvl="3" w:tplc="0416000F" w:tentative="1">
      <w:start w:val="1"/>
      <w:numFmt w:val="decimal"/>
      <w:lvlText w:val="%4."/>
      <w:lvlJc w:val="left"/>
      <w:pPr>
        <w:ind w:left="2757" w:hanging="360"/>
      </w:pPr>
    </w:lvl>
    <w:lvl w:ilvl="4" w:tplc="04160019" w:tentative="1">
      <w:start w:val="1"/>
      <w:numFmt w:val="lowerLetter"/>
      <w:lvlText w:val="%5."/>
      <w:lvlJc w:val="left"/>
      <w:pPr>
        <w:ind w:left="3477" w:hanging="360"/>
      </w:pPr>
    </w:lvl>
    <w:lvl w:ilvl="5" w:tplc="0416001B" w:tentative="1">
      <w:start w:val="1"/>
      <w:numFmt w:val="lowerRoman"/>
      <w:lvlText w:val="%6."/>
      <w:lvlJc w:val="right"/>
      <w:pPr>
        <w:ind w:left="4197" w:hanging="180"/>
      </w:pPr>
    </w:lvl>
    <w:lvl w:ilvl="6" w:tplc="0416000F" w:tentative="1">
      <w:start w:val="1"/>
      <w:numFmt w:val="decimal"/>
      <w:lvlText w:val="%7."/>
      <w:lvlJc w:val="left"/>
      <w:pPr>
        <w:ind w:left="4917" w:hanging="360"/>
      </w:pPr>
    </w:lvl>
    <w:lvl w:ilvl="7" w:tplc="04160019" w:tentative="1">
      <w:start w:val="1"/>
      <w:numFmt w:val="lowerLetter"/>
      <w:lvlText w:val="%8."/>
      <w:lvlJc w:val="left"/>
      <w:pPr>
        <w:ind w:left="5637" w:hanging="360"/>
      </w:pPr>
    </w:lvl>
    <w:lvl w:ilvl="8" w:tplc="0416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06AE"/>
    <w:rsid w:val="0000712A"/>
    <w:rsid w:val="001F32D7"/>
    <w:rsid w:val="00376F69"/>
    <w:rsid w:val="004D00C9"/>
    <w:rsid w:val="00AE06AE"/>
    <w:rsid w:val="00B220BF"/>
    <w:rsid w:val="00E75580"/>
    <w:rsid w:val="00F2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06A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E06AE"/>
    <w:rPr>
      <w:b/>
      <w:bCs/>
    </w:rPr>
  </w:style>
  <w:style w:type="character" w:customStyle="1" w:styleId="ams">
    <w:name w:val="ams"/>
    <w:basedOn w:val="Fontepargpadro"/>
    <w:rsid w:val="00AE06AE"/>
  </w:style>
  <w:style w:type="paragraph" w:styleId="Textodebalo">
    <w:name w:val="Balloon Text"/>
    <w:basedOn w:val="Normal"/>
    <w:link w:val="TextodebaloChar"/>
    <w:uiPriority w:val="99"/>
    <w:semiHidden/>
    <w:unhideWhenUsed/>
    <w:rsid w:val="00A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6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17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0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446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1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633307">
                                                                          <w:marLeft w:val="0"/>
                                                                          <w:marRight w:val="26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9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14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67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068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805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93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984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157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27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266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54828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34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856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989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16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9755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8656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685716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4897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62558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505990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8284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72926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40460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80346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662408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6921288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4591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56124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60474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61997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6019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112618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569656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197701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35501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098534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7895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329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512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7288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47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8253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272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414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68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82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20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43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523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15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elecomParis_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school/telecom-paris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blogrecherche.wp.imt.f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telecom-paris.fr/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facebook.com/TelecomPari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nstagram.com/telecom_pari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dcterms:created xsi:type="dcterms:W3CDTF">2020-07-28T13:22:00Z</dcterms:created>
  <dcterms:modified xsi:type="dcterms:W3CDTF">2020-07-28T13:29:00Z</dcterms:modified>
</cp:coreProperties>
</file>