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D9AE" w14:textId="77777777" w:rsidR="001C613D" w:rsidRDefault="001C613D" w:rsidP="00B119E7">
      <w:pPr>
        <w:pStyle w:val="Ttulo1"/>
        <w:ind w:left="0"/>
        <w:jc w:val="center"/>
        <w:rPr>
          <w:sz w:val="36"/>
          <w:szCs w:val="36"/>
        </w:rPr>
      </w:pPr>
    </w:p>
    <w:p w14:paraId="3C331669" w14:textId="01D46098" w:rsidR="004B4B63" w:rsidRPr="00BB293A" w:rsidRDefault="004B4B63" w:rsidP="00B119E7">
      <w:pPr>
        <w:pStyle w:val="Ttulo1"/>
        <w:ind w:left="0"/>
        <w:jc w:val="center"/>
        <w:rPr>
          <w:sz w:val="14"/>
          <w:szCs w:val="14"/>
        </w:rPr>
      </w:pPr>
      <w:r w:rsidRPr="00BB293A">
        <w:rPr>
          <w:sz w:val="36"/>
          <w:szCs w:val="36"/>
        </w:rPr>
        <w:t xml:space="preserve">Termo de Referência Preliminar (TRP) </w:t>
      </w:r>
      <w:r w:rsidR="00DC7EFD">
        <w:rPr>
          <w:sz w:val="36"/>
          <w:szCs w:val="36"/>
        </w:rPr>
        <w:t>–</w:t>
      </w:r>
      <w:r w:rsidRPr="00BB293A">
        <w:rPr>
          <w:sz w:val="36"/>
          <w:szCs w:val="36"/>
        </w:rPr>
        <w:t xml:space="preserve"> </w:t>
      </w:r>
      <w:r w:rsidR="009A2C2E" w:rsidRPr="001C613D">
        <w:rPr>
          <w:sz w:val="36"/>
          <w:szCs w:val="36"/>
        </w:rPr>
        <w:t>Serviço</w:t>
      </w:r>
      <w:r w:rsidR="00DC7EFD" w:rsidRPr="001C613D">
        <w:rPr>
          <w:sz w:val="36"/>
          <w:szCs w:val="36"/>
        </w:rPr>
        <w:t xml:space="preserve"> </w:t>
      </w:r>
      <w:r w:rsidR="00C63707">
        <w:rPr>
          <w:sz w:val="36"/>
          <w:szCs w:val="36"/>
        </w:rPr>
        <w:t>com</w:t>
      </w:r>
      <w:r w:rsidR="00DC7EFD" w:rsidRPr="001C613D">
        <w:rPr>
          <w:sz w:val="36"/>
          <w:szCs w:val="36"/>
        </w:rPr>
        <w:t xml:space="preserve"> dedicação</w:t>
      </w:r>
      <w:r w:rsidR="00D04673">
        <w:rPr>
          <w:sz w:val="36"/>
          <w:szCs w:val="36"/>
        </w:rPr>
        <w:t xml:space="preserve"> exclusiva</w:t>
      </w:r>
      <w:r w:rsidR="00DC7EFD" w:rsidRPr="001C613D">
        <w:rPr>
          <w:sz w:val="36"/>
          <w:szCs w:val="36"/>
        </w:rPr>
        <w:t xml:space="preserve"> de mão de obra</w:t>
      </w:r>
    </w:p>
    <w:p w14:paraId="4A8825F0" w14:textId="77777777" w:rsidR="004B4B63" w:rsidRDefault="004B4B63" w:rsidP="004B4B63">
      <w:pPr>
        <w:pStyle w:val="PargrafodaLista"/>
        <w:spacing w:line="480" w:lineRule="auto"/>
        <w:ind w:left="0" w:right="-113"/>
        <w:rPr>
          <w:rFonts w:ascii="Verdana" w:hAnsi="Verdana"/>
          <w:szCs w:val="22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2850DD22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5AA6828D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15FFC4C0" w14:textId="720788B4" w:rsidR="00C63707" w:rsidRP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Serviço por escopo contínuo: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2614596D" w14:textId="3DA28289" w:rsidR="00C63707" w:rsidRPr="00C63707" w:rsidRDefault="00C63707" w:rsidP="00C63707">
      <w:pPr>
        <w:pStyle w:val="PargrafodaLista"/>
        <w:ind w:left="360" w:right="-113" w:firstLine="207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2342702" w14:textId="5C4F756A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0"/>
      <w:r>
        <w:rPr>
          <w:rFonts w:ascii="Verdana" w:hAnsi="Verdana"/>
          <w:szCs w:val="22"/>
        </w:rPr>
        <w:t xml:space="preserve">Vigência da Contratação </w:t>
      </w:r>
      <w:commentRangeEnd w:id="0"/>
      <w:r w:rsidR="00112DE3">
        <w:rPr>
          <w:rStyle w:val="Refdecomentrio"/>
        </w:rPr>
        <w:commentReference w:id="0"/>
      </w:r>
      <w:r>
        <w:rPr>
          <w:rFonts w:ascii="Verdana" w:hAnsi="Verdana"/>
          <w:szCs w:val="22"/>
        </w:rPr>
        <w:t>(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C179E0" w:rsidRPr="008B7113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</w:t>
      </w:r>
      <w:r w:rsidRPr="000F32DE">
        <w:rPr>
          <w:rFonts w:ascii="Verdana" w:hAnsi="Verdana"/>
          <w:sz w:val="22"/>
          <w:szCs w:val="20"/>
        </w:rPr>
        <w:t>dias</w:t>
      </w:r>
      <w:r w:rsidR="00C63707">
        <w:rPr>
          <w:rFonts w:ascii="Verdana" w:hAnsi="Verdana"/>
          <w:sz w:val="22"/>
          <w:szCs w:val="20"/>
        </w:rPr>
        <w:t xml:space="preserve">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C179E0" w:rsidRPr="008B7113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meses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C179E0" w:rsidRPr="008B7113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anos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64981E76" w:rsidR="004B4B63" w:rsidRDefault="004B4B63" w:rsidP="00740E5D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07C2CDF8" w14:textId="77777777" w:rsidR="009B48A3" w:rsidRPr="00740E5D" w:rsidRDefault="009B48A3" w:rsidP="009B48A3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5764572B" w14:textId="77777777" w:rsidR="009B48A3" w:rsidRPr="00907375" w:rsidRDefault="009B48A3" w:rsidP="009B48A3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5A62AA8" w14:textId="0E79157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1"/>
      <w:r w:rsidRPr="00A74B2C">
        <w:rPr>
          <w:rFonts w:ascii="Verdana" w:hAnsi="Verdana"/>
          <w:szCs w:val="22"/>
        </w:rPr>
        <w:t>Critérios de Sustentabilidade</w:t>
      </w:r>
      <w:commentRangeEnd w:id="1"/>
      <w:r w:rsidR="000F32DE">
        <w:rPr>
          <w:rStyle w:val="Refdecomentrio"/>
        </w:rPr>
        <w:commentReference w:id="1"/>
      </w:r>
      <w:r w:rsidR="001A5ADE">
        <w:rPr>
          <w:rFonts w:ascii="Verdana" w:hAnsi="Verdana"/>
          <w:szCs w:val="22"/>
        </w:rPr>
        <w:t>:</w:t>
      </w:r>
    </w:p>
    <w:p w14:paraId="7F127ACF" w14:textId="60B7A539" w:rsidR="00DC7EFD" w:rsidRDefault="00DC7EFD" w:rsidP="00DC7EFD">
      <w:pPr>
        <w:pStyle w:val="PargrafodaLista"/>
        <w:ind w:left="360" w:right="-113" w:firstLine="207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FA914E8" w14:textId="77777777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2"/>
      <w:r>
        <w:rPr>
          <w:rFonts w:ascii="Verdana" w:hAnsi="Verdana"/>
        </w:rPr>
        <w:t>Indicação de marcas</w:t>
      </w:r>
      <w:commentRangeEnd w:id="2"/>
      <w:r>
        <w:rPr>
          <w:rStyle w:val="Refdecomentrio"/>
        </w:rPr>
        <w:commentReference w:id="2"/>
      </w:r>
      <w:r>
        <w:rPr>
          <w:rFonts w:ascii="Verdana" w:hAnsi="Verdana"/>
        </w:rPr>
        <w:t>:</w:t>
      </w:r>
      <w:r w:rsidRPr="00BB30D5">
        <w:rPr>
          <w:rFonts w:ascii="Verdana" w:hAnsi="Verdana"/>
          <w:szCs w:val="22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indicar:</w:t>
      </w:r>
    </w:p>
    <w:p w14:paraId="449403B0" w14:textId="77777777" w:rsidR="00570034" w:rsidRPr="00907375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B1B9605" w14:textId="1E74B7AD" w:rsidR="00DC7EFD" w:rsidRDefault="00DC7EFD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3"/>
      <w:r>
        <w:rPr>
          <w:rFonts w:ascii="Verdana" w:hAnsi="Verdana"/>
          <w:szCs w:val="22"/>
        </w:rPr>
        <w:t>Necessidade de vistoria prévia</w:t>
      </w:r>
      <w:commentRangeEnd w:id="3"/>
      <w:r w:rsidR="007A648C">
        <w:rPr>
          <w:rStyle w:val="Refdecomentrio"/>
        </w:rPr>
        <w:commentReference w:id="3"/>
      </w:r>
      <w:r w:rsidR="007A648C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  <w:r w:rsidRPr="00DC7EFD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</w:t>
      </w:r>
      <w:r w:rsidR="007A648C" w:rsidRPr="007A648C">
        <w:rPr>
          <w:rFonts w:ascii="Verdana" w:hAnsi="Verdana"/>
          <w:sz w:val="22"/>
          <w:szCs w:val="22"/>
        </w:rPr>
        <w:t>indicar horário</w:t>
      </w:r>
      <w:r w:rsidR="007A648C">
        <w:rPr>
          <w:rFonts w:ascii="Verdana" w:hAnsi="Verdana"/>
          <w:sz w:val="22"/>
          <w:szCs w:val="22"/>
        </w:rPr>
        <w:t>,</w:t>
      </w:r>
      <w:r w:rsidR="007A648C" w:rsidRPr="007A648C">
        <w:rPr>
          <w:rFonts w:ascii="Verdana" w:hAnsi="Verdana"/>
          <w:sz w:val="22"/>
          <w:szCs w:val="22"/>
        </w:rPr>
        <w:t xml:space="preserve"> responsável e demais instruções pertinentes</w:t>
      </w:r>
      <w:r>
        <w:rPr>
          <w:rFonts w:ascii="Verdana" w:hAnsi="Verdana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69B249A" w14:textId="0322240D" w:rsidR="007A648C" w:rsidRDefault="007A648C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Modelo de execução do objeto</w:t>
      </w:r>
      <w:r w:rsidR="009B48A3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</w:p>
    <w:p w14:paraId="26204DB9" w14:textId="1273FFF6" w:rsidR="001C613D" w:rsidRDefault="00AB5AB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Início da execução do objeto:</w:t>
      </w:r>
    </w:p>
    <w:p w14:paraId="072F4C6C" w14:textId="7B5FAADE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EE35D3C" w14:textId="2DB943CD" w:rsidR="001C613D" w:rsidRDefault="007A648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 w:rsidRPr="007A648C">
        <w:rPr>
          <w:rFonts w:ascii="Verdana" w:hAnsi="Verdana"/>
          <w:sz w:val="22"/>
          <w:szCs w:val="20"/>
        </w:rPr>
        <w:t>Descrição detalhada dos métodos, rotinas, etapas, tecnologias, procedimentos, frequência e periodicidade de execução do trabalho</w:t>
      </w:r>
      <w:r>
        <w:rPr>
          <w:rFonts w:ascii="Verdana" w:hAnsi="Verdana"/>
          <w:sz w:val="22"/>
          <w:szCs w:val="20"/>
        </w:rPr>
        <w:t>:</w:t>
      </w:r>
    </w:p>
    <w:p w14:paraId="376AE737" w14:textId="731FCCE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4727EA8" w14:textId="2603D6DD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Cronograma de realização dos serviços:</w:t>
      </w:r>
    </w:p>
    <w:p w14:paraId="7C56B153" w14:textId="2AF6763A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DF6E3D9" w14:textId="4C2248D7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Etapa</w:t>
      </w:r>
      <w:r w:rsidR="00AB5ABC">
        <w:rPr>
          <w:rFonts w:ascii="Verdana" w:hAnsi="Verdana"/>
          <w:sz w:val="22"/>
          <w:szCs w:val="20"/>
        </w:rPr>
        <w:t>:</w:t>
      </w:r>
    </w:p>
    <w:p w14:paraId="5A513BAB" w14:textId="7E73542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8E0E9A0" w14:textId="2970F96C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Local de realização</w:t>
      </w:r>
      <w:r w:rsidR="00AB5ABC">
        <w:rPr>
          <w:rFonts w:ascii="Verdana" w:hAnsi="Verdana"/>
          <w:sz w:val="22"/>
          <w:szCs w:val="20"/>
        </w:rPr>
        <w:t>:</w:t>
      </w:r>
    </w:p>
    <w:p w14:paraId="6E1D6B30" w14:textId="5D6A0A02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7DE634C9" w14:textId="480ED6BA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Horário de realização:</w:t>
      </w:r>
    </w:p>
    <w:p w14:paraId="7C507BE7" w14:textId="4C5FB98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7B948D7" w14:textId="0F5C6D39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Rotinas a serem cumpridas:</w:t>
      </w:r>
    </w:p>
    <w:p w14:paraId="67D6D1A3" w14:textId="0A0FB069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260408B" w14:textId="65FEC34C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commentRangeStart w:id="4"/>
      <w:r>
        <w:rPr>
          <w:rFonts w:ascii="Verdana" w:hAnsi="Verdana"/>
          <w:sz w:val="22"/>
          <w:szCs w:val="20"/>
        </w:rPr>
        <w:t>Materiais a serem disponibilizados</w:t>
      </w:r>
      <w:commentRangeEnd w:id="4"/>
      <w:r>
        <w:rPr>
          <w:rStyle w:val="Refdecomentrio"/>
        </w:rPr>
        <w:commentReference w:id="4"/>
      </w:r>
      <w:r>
        <w:rPr>
          <w:rFonts w:ascii="Verdana" w:hAnsi="Verdana"/>
          <w:sz w:val="22"/>
          <w:szCs w:val="20"/>
        </w:rPr>
        <w:t>:</w:t>
      </w:r>
    </w:p>
    <w:p w14:paraId="6A7194A1" w14:textId="77777777" w:rsidR="001C613D" w:rsidRPr="001C613D" w:rsidRDefault="001C613D" w:rsidP="00C63707">
      <w:pPr>
        <w:pStyle w:val="PargrafodaLista"/>
        <w:ind w:left="709" w:right="-113" w:firstLine="993"/>
        <w:rPr>
          <w:rFonts w:ascii="Verdana" w:hAnsi="Verdana"/>
          <w:sz w:val="22"/>
          <w:szCs w:val="20"/>
        </w:rPr>
      </w:pPr>
      <w:r w:rsidRPr="001C613D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613D">
        <w:rPr>
          <w:color w:val="2F5496" w:themeColor="accent1" w:themeShade="BF"/>
        </w:rPr>
        <w:instrText xml:space="preserve"> FORMTEXT </w:instrText>
      </w:r>
      <w:r w:rsidRPr="001C613D">
        <w:rPr>
          <w:color w:val="2F5496" w:themeColor="accent1" w:themeShade="BF"/>
        </w:rPr>
      </w:r>
      <w:r w:rsidRPr="001C613D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C613D">
        <w:rPr>
          <w:color w:val="2F5496" w:themeColor="accent1" w:themeShade="BF"/>
        </w:rPr>
        <w:fldChar w:fldCharType="end"/>
      </w:r>
    </w:p>
    <w:p w14:paraId="5790B864" w14:textId="2E65B84E" w:rsidR="001C613D" w:rsidRDefault="001C613D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commentRangeStart w:id="5"/>
      <w:r>
        <w:rPr>
          <w:rFonts w:ascii="Verdana" w:hAnsi="Verdana"/>
          <w:sz w:val="22"/>
          <w:szCs w:val="20"/>
        </w:rPr>
        <w:t>Informações relevantes para o dimensionamento da proposta</w:t>
      </w:r>
      <w:commentRangeEnd w:id="5"/>
      <w:r>
        <w:rPr>
          <w:rStyle w:val="Refdecomentrio"/>
        </w:rPr>
        <w:commentReference w:id="5"/>
      </w:r>
      <w:r>
        <w:rPr>
          <w:rFonts w:ascii="Verdana" w:hAnsi="Verdana"/>
          <w:sz w:val="22"/>
          <w:szCs w:val="20"/>
        </w:rPr>
        <w:t>:</w:t>
      </w:r>
    </w:p>
    <w:p w14:paraId="773453F1" w14:textId="4821F84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27ED971E" w:rsidR="004B4B63" w:rsidRDefault="001B77D2" w:rsidP="00740E5D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6A42393" w14:textId="77777777" w:rsid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Uniformes</w:t>
      </w:r>
      <w:r w:rsidRPr="000F32DE">
        <w:rPr>
          <w:rFonts w:ascii="Verdana" w:hAnsi="Verdana"/>
          <w:szCs w:val="22"/>
        </w:rPr>
        <w:t>:</w:t>
      </w:r>
    </w:p>
    <w:p w14:paraId="6A178080" w14:textId="31B8F4B2" w:rsidR="00C63707" w:rsidRDefault="00C63707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Peças do vestuário:</w:t>
      </w:r>
    </w:p>
    <w:p w14:paraId="60CB3409" w14:textId="1F9017B3" w:rsidR="00C63707" w:rsidRDefault="00C63707" w:rsidP="00C63707">
      <w:pPr>
        <w:pStyle w:val="PargrafodaLista"/>
        <w:ind w:left="1712" w:right="-113"/>
        <w:contextualSpacing w:val="0"/>
        <w:rPr>
          <w:color w:val="2F5496" w:themeColor="accent1" w:themeShade="BF"/>
        </w:rPr>
      </w:pPr>
      <w:r w:rsidRPr="00C63707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3707">
        <w:rPr>
          <w:color w:val="2F5496" w:themeColor="accent1" w:themeShade="BF"/>
        </w:rPr>
        <w:instrText xml:space="preserve"> FORMTEXT </w:instrText>
      </w:r>
      <w:r w:rsidRPr="00C63707">
        <w:rPr>
          <w:color w:val="2F5496" w:themeColor="accent1" w:themeShade="BF"/>
        </w:rPr>
      </w:r>
      <w:r w:rsidRPr="00C63707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63707">
        <w:rPr>
          <w:color w:val="2F5496" w:themeColor="accent1" w:themeShade="BF"/>
        </w:rPr>
        <w:fldChar w:fldCharType="end"/>
      </w:r>
    </w:p>
    <w:p w14:paraId="7A0144D7" w14:textId="63831BDF" w:rsidR="00C63707" w:rsidRDefault="00D62A1F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Período máximo para substituição dos uniformes</w:t>
      </w:r>
      <w:r w:rsidR="00C63707">
        <w:rPr>
          <w:rFonts w:ascii="Verdana" w:hAnsi="Verdana"/>
          <w:sz w:val="22"/>
          <w:szCs w:val="20"/>
        </w:rPr>
        <w:t>:</w:t>
      </w:r>
    </w:p>
    <w:p w14:paraId="1DBAF839" w14:textId="77777777" w:rsidR="00C63707" w:rsidRPr="001C613D" w:rsidRDefault="00C63707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4CB9A909" w14:textId="0CF331C9" w:rsidR="00D62A1F" w:rsidRDefault="00D62A1F" w:rsidP="00D62A1F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Parâmetros mínimos de qualidade das peças:</w:t>
      </w:r>
    </w:p>
    <w:p w14:paraId="09969BDC" w14:textId="77777777" w:rsidR="00D62A1F" w:rsidRPr="001C613D" w:rsidRDefault="00D62A1F" w:rsidP="00D62A1F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B27AC70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6"/>
      <w:r>
        <w:rPr>
          <w:rFonts w:ascii="Verdana" w:hAnsi="Verdana"/>
          <w:szCs w:val="22"/>
        </w:rPr>
        <w:t>Necessidade de Transição e Finalização</w:t>
      </w:r>
      <w:commentRangeEnd w:id="6"/>
      <w:r>
        <w:rPr>
          <w:rStyle w:val="Refdecomentrio"/>
        </w:rPr>
        <w:commentReference w:id="6"/>
      </w:r>
      <w:r>
        <w:rPr>
          <w:rFonts w:ascii="Verdana" w:hAnsi="Verdana"/>
          <w:szCs w:val="22"/>
        </w:rPr>
        <w:t>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procedimentos de transição e finalização:</w:t>
      </w:r>
    </w:p>
    <w:p w14:paraId="2C0F0474" w14:textId="77777777" w:rsidR="00D62A1F" w:rsidRPr="00570034" w:rsidRDefault="00D62A1F" w:rsidP="00D62A1F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FF8B158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7"/>
      <w:r>
        <w:rPr>
          <w:rFonts w:ascii="Verdana" w:hAnsi="Verdana"/>
          <w:szCs w:val="22"/>
        </w:rPr>
        <w:t>Manutenção do Preposto no local</w:t>
      </w:r>
      <w:commentRangeEnd w:id="7"/>
      <w:r>
        <w:rPr>
          <w:rStyle w:val="Refdecomentrio"/>
        </w:rPr>
        <w:commentReference w:id="7"/>
      </w:r>
      <w:r>
        <w:rPr>
          <w:rFonts w:ascii="Verdana" w:hAnsi="Verdana"/>
          <w:szCs w:val="22"/>
        </w:rPr>
        <w:t>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período:</w:t>
      </w:r>
    </w:p>
    <w:p w14:paraId="42B855FC" w14:textId="2AFBD3B9" w:rsidR="00D62A1F" w:rsidRDefault="00D62A1F" w:rsidP="00D62A1F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D09F822" w14:textId="6DB45053" w:rsidR="00D62A1F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Rotina de fiscalização da execução dos serviços</w:t>
      </w:r>
      <w:r w:rsidRPr="000F32DE">
        <w:rPr>
          <w:rFonts w:ascii="Verdana" w:hAnsi="Verdana"/>
          <w:szCs w:val="22"/>
        </w:rPr>
        <w:t>:</w:t>
      </w:r>
    </w:p>
    <w:p w14:paraId="5280D896" w14:textId="5C161D47" w:rsidR="00D62A1F" w:rsidRDefault="00D62A1F" w:rsidP="00D62A1F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33886072" w14:textId="6DBEFA89" w:rsidR="00B92C0B" w:rsidRDefault="00B92C0B" w:rsidP="00B92C0B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8"/>
      <w:r>
        <w:rPr>
          <w:rFonts w:ascii="Verdana" w:hAnsi="Verdana"/>
          <w:szCs w:val="22"/>
        </w:rPr>
        <w:lastRenderedPageBreak/>
        <w:t>Critérios de aferição da execução contratual para fins de pagamento</w:t>
      </w:r>
      <w:commentRangeEnd w:id="8"/>
      <w:r>
        <w:rPr>
          <w:rStyle w:val="Refdecomentrio"/>
        </w:rPr>
        <w:commentReference w:id="8"/>
      </w:r>
      <w:r w:rsidRPr="000F32DE">
        <w:rPr>
          <w:rFonts w:ascii="Verdana" w:hAnsi="Verdana"/>
          <w:szCs w:val="22"/>
        </w:rPr>
        <w:t>:</w:t>
      </w:r>
    </w:p>
    <w:p w14:paraId="11E8CCEF" w14:textId="77777777" w:rsidR="00B92C0B" w:rsidRPr="000F32DE" w:rsidRDefault="00B92C0B" w:rsidP="00B92C0B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3427ADD8" w14:textId="36F504EC" w:rsidR="009B48A3" w:rsidRDefault="009B48A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9"/>
      <w:r>
        <w:rPr>
          <w:rFonts w:ascii="Verdana" w:hAnsi="Verdana"/>
          <w:szCs w:val="22"/>
        </w:rPr>
        <w:t xml:space="preserve">Recebimento provisório </w:t>
      </w:r>
      <w:commentRangeEnd w:id="9"/>
      <w:r>
        <w:rPr>
          <w:rStyle w:val="Refdecomentrio"/>
        </w:rPr>
        <w:commentReference w:id="9"/>
      </w:r>
      <w:r>
        <w:rPr>
          <w:rFonts w:ascii="Verdana" w:hAnsi="Verdana"/>
          <w:szCs w:val="22"/>
        </w:rPr>
        <w:t>(dias):</w:t>
      </w:r>
    </w:p>
    <w:p w14:paraId="66B0AA75" w14:textId="77777777" w:rsidR="009B48A3" w:rsidRPr="009B48A3" w:rsidRDefault="009B48A3" w:rsidP="009B48A3">
      <w:pPr>
        <w:ind w:right="-113" w:firstLine="567"/>
        <w:rPr>
          <w:rFonts w:ascii="Verdana" w:hAnsi="Verdana"/>
        </w:rPr>
      </w:pPr>
      <w:r w:rsidRPr="009B48A3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B48A3">
        <w:rPr>
          <w:color w:val="2F5496" w:themeColor="accent1" w:themeShade="BF"/>
        </w:rPr>
        <w:instrText xml:space="preserve"> FORMTEXT </w:instrText>
      </w:r>
      <w:r w:rsidRPr="009B48A3">
        <w:rPr>
          <w:color w:val="2F5496" w:themeColor="accent1" w:themeShade="BF"/>
        </w:rPr>
      </w:r>
      <w:r w:rsidRPr="009B48A3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 w:rsidRPr="009B48A3">
        <w:rPr>
          <w:color w:val="2F5496" w:themeColor="accent1" w:themeShade="BF"/>
        </w:rPr>
        <w:fldChar w:fldCharType="end"/>
      </w:r>
    </w:p>
    <w:p w14:paraId="38C1D094" w14:textId="16D994A1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10"/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</w:t>
      </w:r>
      <w:commentRangeEnd w:id="10"/>
      <w:r w:rsidR="00112DE3">
        <w:rPr>
          <w:rStyle w:val="Refdecomentrio"/>
        </w:rPr>
        <w:commentReference w:id="10"/>
      </w:r>
      <w:r w:rsidR="00112DE3">
        <w:rPr>
          <w:rFonts w:ascii="Verdana" w:hAnsi="Verdana"/>
          <w:szCs w:val="22"/>
        </w:rPr>
        <w:t>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DD6D2DF" w14:textId="1E32FCE2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11"/>
      <w:r>
        <w:rPr>
          <w:rFonts w:ascii="Verdana" w:hAnsi="Verdana"/>
          <w:szCs w:val="22"/>
        </w:rPr>
        <w:t>Ato de autorização para o exercício da atividade</w:t>
      </w:r>
      <w:commentRangeEnd w:id="11"/>
      <w:r>
        <w:rPr>
          <w:rStyle w:val="Refdecomentrio"/>
        </w:rPr>
        <w:commentReference w:id="11"/>
      </w:r>
      <w:r w:rsidRPr="000F32DE">
        <w:rPr>
          <w:rFonts w:ascii="Verdana" w:hAnsi="Verdana"/>
          <w:szCs w:val="22"/>
        </w:rPr>
        <w:t>:</w:t>
      </w:r>
    </w:p>
    <w:p w14:paraId="75649B70" w14:textId="77777777" w:rsidR="006B1A81" w:rsidRPr="000F32DE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5086B7AA" w14:textId="76DC9E50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12"/>
      <w:r>
        <w:rPr>
          <w:rFonts w:ascii="Verdana" w:hAnsi="Verdana"/>
          <w:szCs w:val="22"/>
        </w:rPr>
        <w:t>Comprovação de experiência mínima</w:t>
      </w:r>
      <w:commentRangeEnd w:id="12"/>
      <w:r>
        <w:rPr>
          <w:rStyle w:val="Refdecomentrio"/>
        </w:rPr>
        <w:commentReference w:id="12"/>
      </w:r>
      <w:r w:rsidRPr="000F32DE">
        <w:rPr>
          <w:rFonts w:ascii="Verdana" w:hAnsi="Verdana"/>
          <w:szCs w:val="22"/>
        </w:rPr>
        <w:t>:</w:t>
      </w:r>
    </w:p>
    <w:p w14:paraId="2BB0EF3D" w14:textId="7E80852F" w:rsidR="006B1A81" w:rsidRPr="006B1A81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F7E2DEA" w14:textId="25BDEBD5" w:rsidR="006B1A81" w:rsidRPr="00740E5D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13"/>
      <w:r>
        <w:rPr>
          <w:rFonts w:ascii="Verdana" w:hAnsi="Verdana"/>
          <w:szCs w:val="22"/>
        </w:rPr>
        <w:t>Exigência de instalação de escritório</w:t>
      </w:r>
      <w:r w:rsidR="00C65573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no Local</w:t>
      </w:r>
      <w:commentRangeEnd w:id="13"/>
      <w:r w:rsidR="00C65573">
        <w:rPr>
          <w:rStyle w:val="Refdecomentrio"/>
        </w:rPr>
        <w:commentReference w:id="13"/>
      </w:r>
      <w:r>
        <w:rPr>
          <w:rFonts w:ascii="Verdana" w:hAnsi="Verdana"/>
          <w:szCs w:val="22"/>
        </w:rPr>
        <w:t>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DA4B3D">
        <w:rPr>
          <w:rFonts w:ascii="Verdana" w:hAnsi="Verdana"/>
        </w:rPr>
      </w:r>
      <w:r w:rsidR="00DA4B3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46B4328A" w14:textId="77777777" w:rsidR="006B1A81" w:rsidRPr="00907375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821466D" w14:textId="5F728FFC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12"/>
      <w:footerReference w:type="default" r:id="rId13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3501602" w:date="2024-05-23T16:52:00Z" w:initials="3">
    <w:p w14:paraId="65D84EA3" w14:textId="77777777" w:rsidR="00112DE3" w:rsidRDefault="00112DE3" w:rsidP="00112DE3">
      <w:pPr>
        <w:pStyle w:val="Textodecomentrio"/>
        <w:ind w:left="0"/>
        <w:rPr>
          <w:i/>
          <w:iCs/>
          <w:color w:val="000000"/>
        </w:rPr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</w:t>
      </w:r>
      <w:r>
        <w:rPr>
          <w:i/>
          <w:iCs/>
          <w:color w:val="000000"/>
        </w:rPr>
        <w:t>Considerada imediata aquela com prazo de entrega de até 30 (trinta) dias da ordem de fornecimento.</w:t>
      </w:r>
    </w:p>
    <w:p w14:paraId="18463017" w14:textId="15FAB040" w:rsidR="00112DE3" w:rsidRPr="00112DE3" w:rsidRDefault="00112DE3" w:rsidP="00112DE3">
      <w:pPr>
        <w:pStyle w:val="Textodecomentrio"/>
        <w:ind w:left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Nota Explicativa 2:</w:t>
      </w:r>
      <w:r>
        <w:rPr>
          <w:i/>
          <w:iCs/>
          <w:color w:val="000000"/>
        </w:rPr>
        <w:t xml:space="preserve"> Caso não seja apontada, será preenchida por discricionariedade </w:t>
      </w:r>
      <w:r w:rsidR="009B48A3">
        <w:rPr>
          <w:i/>
          <w:iCs/>
          <w:color w:val="000000"/>
        </w:rPr>
        <w:t>d</w:t>
      </w:r>
      <w:r>
        <w:rPr>
          <w:i/>
          <w:iCs/>
          <w:color w:val="000000"/>
        </w:rPr>
        <w:t xml:space="preserve">a Seção de </w:t>
      </w:r>
      <w:r w:rsidR="00D04673">
        <w:rPr>
          <w:i/>
          <w:iCs/>
          <w:color w:val="000000"/>
        </w:rPr>
        <w:t>C</w:t>
      </w:r>
      <w:r>
        <w:rPr>
          <w:i/>
          <w:iCs/>
          <w:color w:val="000000"/>
        </w:rPr>
        <w:t>ompras.</w:t>
      </w:r>
    </w:p>
  </w:comment>
  <w:comment w:id="1" w:author="3501602" w:date="2024-05-23T16:02:00Z" w:initials="3">
    <w:p w14:paraId="66D61764" w14:textId="303632FE" w:rsidR="000F32DE" w:rsidRDefault="000F32DE" w:rsidP="007E12F4">
      <w:pPr>
        <w:pStyle w:val="Textodecomentrio"/>
        <w:ind w:left="0"/>
      </w:pPr>
      <w:r>
        <w:rPr>
          <w:rStyle w:val="Refdecomentrio"/>
        </w:rPr>
        <w:annotationRef/>
      </w:r>
      <w:r>
        <w:rPr>
          <w:b/>
          <w:bCs/>
          <w:i/>
          <w:iCs/>
        </w:rPr>
        <w:t>Nota Explicativa</w:t>
      </w:r>
      <w:r w:rsidR="007E12F4">
        <w:rPr>
          <w:b/>
          <w:bCs/>
          <w:i/>
          <w:iCs/>
        </w:rPr>
        <w:t xml:space="preserve"> 1</w:t>
      </w:r>
      <w:r>
        <w:rPr>
          <w:i/>
          <w:iCs/>
        </w:rPr>
        <w:t>: Os preceitos do desenvolvimento sustentável devem ser observados na fase preparatória da contratação, em suas dimensões econômica, social, ambiental e cultural, no mínimo, com base nos planos de gestão de logística sustentável dos órgãos e das entidades, conforme prevê o parágrafo único do artigo 11 da Instrução Normativa SEGES/ME nº 73, de 2022.</w:t>
      </w:r>
    </w:p>
    <w:p w14:paraId="3E4C46F9" w14:textId="77777777" w:rsidR="000F32DE" w:rsidRDefault="000F32DE" w:rsidP="000F32DE">
      <w:pPr>
        <w:pStyle w:val="Textodecomentrio"/>
      </w:pPr>
    </w:p>
    <w:p w14:paraId="0F4BA1AA" w14:textId="6EC1D588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2</w:t>
      </w:r>
      <w:r>
        <w:rPr>
          <w:b/>
          <w:bCs/>
          <w:i/>
          <w:iCs/>
          <w:color w:val="000000"/>
        </w:rPr>
        <w:t>:</w:t>
      </w:r>
      <w:r>
        <w:rPr>
          <w:i/>
          <w:iCs/>
          <w:color w:val="000000"/>
        </w:rPr>
        <w:t xml:space="preserve"> Os critérios e práticas de sustentabilidade deverão ser registrados no sistema de ETP Digital, conforme previsão do Art. 9º, II, da Instrução Normativa SEGES/ME nº 58, de 2022. </w:t>
      </w:r>
    </w:p>
    <w:p w14:paraId="6385BD1D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 xml:space="preserve">Soma-se a essa previsão, o </w:t>
      </w:r>
      <w:hyperlink r:id="rId1" w:history="1">
        <w:r w:rsidRPr="000832DC">
          <w:rPr>
            <w:rStyle w:val="Hyperlink"/>
            <w:i/>
            <w:iCs/>
          </w:rPr>
          <w:t>Parecer n. 00001/2021/CNS/CGU/AGU, da Consultoria –Geral da União aprovado nos termos do DESPACHO n. 00525/2021/GAB/CGU/AGU (NUP: 00688.000723/2019-45)</w:t>
        </w:r>
      </w:hyperlink>
      <w:r>
        <w:rPr>
          <w:i/>
          <w:iCs/>
          <w:color w:val="000000"/>
        </w:rPr>
        <w:t xml:space="preserve"> que consolidou o entendimento de que a “administração pública é obrigada a adotar critérios e práticas de sustentabilidade socioambiental e de acessibilidade nas contratações públicas, nas fases de planejamento, seleção de fornecedor, execução contratual, fiscalização e na gestão dos resíduos sólidos.” </w:t>
      </w:r>
    </w:p>
    <w:p w14:paraId="1CB4F0E2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>Dessa forma, a sustentabilidade deve ser considerada pelo gestor público: a) na fase de planejamento da contratação, b) na elaboração das minutas, com consulta ao Guia, c) na fase de execução contratual e d) na adequada destinação ambiental dos resíduos decorrentes da aquisição. Ainda que não constante do termo de referência, destaque-se que as contratações mediante pregão eletrônico deverão estar alinhadas com o Plano de Gestão e Logística Sustentável do órgão.</w:t>
      </w:r>
    </w:p>
    <w:p w14:paraId="6489BE6E" w14:textId="77777777" w:rsidR="000F32DE" w:rsidRDefault="000F32DE" w:rsidP="000F32DE">
      <w:pPr>
        <w:pStyle w:val="Textodecomentrio"/>
      </w:pPr>
    </w:p>
    <w:p w14:paraId="135B61DF" w14:textId="62F110E3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3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A impossibilidade de adoção de critérios e práticas de sustentabilidade nas contratações públicas deverá ser justificada pelo gestor competente nos Estudos Técnicos Preliminares ou nos autos do processo administrativo, com a indicação das pertinentes razões de fato e/ou direito, conforme o </w:t>
      </w:r>
      <w:hyperlink r:id="rId2" w:history="1">
        <w:r w:rsidRPr="000832DC">
          <w:rPr>
            <w:rStyle w:val="Hyperlink"/>
            <w:i/>
            <w:iCs/>
          </w:rPr>
          <w:t>Parecer n. 00001/2021/CNS/CGU/AGU</w:t>
        </w:r>
      </w:hyperlink>
      <w:r>
        <w:rPr>
          <w:i/>
          <w:iCs/>
          <w:color w:val="000000"/>
        </w:rPr>
        <w:t xml:space="preserve"> e previsão do §1º do art. 9º da Instrução Normativa SEGES/ME nº 58, de 2022, que dispõe sobre a elaboração dos Estudos Técnicos Preliminares - ETP.   </w:t>
      </w:r>
    </w:p>
    <w:p w14:paraId="33C66EAC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>Se houver justificativa nos autos para a não-adoção de critérios de sustentabilidade (e apenas nesse caso), deverá haver a supressão dos dispositivos específicos acima.</w:t>
      </w:r>
    </w:p>
    <w:p w14:paraId="5E907AF9" w14:textId="77777777" w:rsidR="000F32DE" w:rsidRDefault="000F32DE" w:rsidP="000F32DE">
      <w:pPr>
        <w:pStyle w:val="Textodecomentrio"/>
      </w:pPr>
    </w:p>
    <w:p w14:paraId="67CA8F07" w14:textId="0AD1F95C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4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Aos agentes da administração pública federal encarregados de realizar contratações públicas, recomenda-se que, no exercício de suas atribuições funcionais, consultem o </w:t>
      </w:r>
      <w:hyperlink r:id="rId3" w:history="1">
        <w:r w:rsidRPr="000832DC">
          <w:rPr>
            <w:rStyle w:val="Hyperlink"/>
            <w:i/>
            <w:iCs/>
          </w:rPr>
          <w:t>Guia Nacional de Contratações Sustentáveis da Advocacia-Geral da União</w:t>
        </w:r>
      </w:hyperlink>
      <w:r>
        <w:rPr>
          <w:i/>
          <w:iCs/>
          <w:color w:val="000000"/>
        </w:rPr>
        <w:t>, disponibilizado pela Consultoria-Geral da União e no site da AGU.</w:t>
      </w:r>
    </w:p>
    <w:p w14:paraId="60DDE0F3" w14:textId="77777777" w:rsidR="000F32DE" w:rsidRDefault="000F32DE" w:rsidP="000F32DE">
      <w:pPr>
        <w:pStyle w:val="Textodecomentrio"/>
      </w:pPr>
    </w:p>
    <w:p w14:paraId="3B0BA936" w14:textId="373B8C0B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>Nota Explicativa</w:t>
      </w:r>
      <w:r w:rsidR="007E12F4">
        <w:rPr>
          <w:b/>
          <w:bCs/>
          <w:i/>
          <w:iCs/>
          <w:color w:val="000000"/>
        </w:rPr>
        <w:t xml:space="preserve"> 4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De acordo com o </w:t>
      </w:r>
      <w:hyperlink r:id="rId4" w:history="1">
        <w:r w:rsidRPr="000832DC">
          <w:rPr>
            <w:rStyle w:val="Hyperlink"/>
            <w:i/>
            <w:iCs/>
          </w:rPr>
          <w:t>Guia Nacional de Contratações Sustentáveis da AGU</w:t>
        </w:r>
      </w:hyperlink>
      <w:r>
        <w:rPr>
          <w:i/>
          <w:iCs/>
          <w:color w:val="000000"/>
        </w:rPr>
        <w:t>, a inclusão de critérios de sustentabilidade deve ser feita de modo claro e objetivo. Deve-se evitar a transcrição literal e automática das previsões legais ou normativas, sem efetuar o exame da incidência real e efetiva delas na contratação em apreço.</w:t>
      </w:r>
    </w:p>
    <w:p w14:paraId="49675BC7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 xml:space="preserve">Assim, uma vez exigido qualquer requisito ambiental na especificação do objeto e/ou edital, e/ou contrato, deve ser prevista a forma objetiva de comprovação. É preciso saber quais critérios de sustentabilidade devem ser incluídos nas peças “editalícias”, como fazer essas exigências e de que forma as pretendidas contratadas devem comprovar o cumprimento desses critérios de sustentabilidade exigidos pela Administração. (artigo 9, inciso XII, da </w:t>
      </w:r>
      <w:hyperlink r:id="rId5" w:history="1">
        <w:r w:rsidRPr="000832DC">
          <w:rPr>
            <w:rStyle w:val="Hyperlink"/>
            <w:i/>
            <w:iCs/>
          </w:rPr>
          <w:t>Instrução Normativa SEGES/ME nº 58, de 2022</w:t>
        </w:r>
      </w:hyperlink>
      <w:r>
        <w:rPr>
          <w:i/>
          <w:iCs/>
          <w:color w:val="000000"/>
        </w:rPr>
        <w:t>, que dispõe sobre a elaboração dos Estudos Técnicos Preliminares - ETP)</w:t>
      </w:r>
    </w:p>
    <w:p w14:paraId="1D38AEFF" w14:textId="77777777" w:rsidR="000F32DE" w:rsidRDefault="000F32DE" w:rsidP="000F32DE">
      <w:pPr>
        <w:pStyle w:val="Textodecomentrio"/>
      </w:pPr>
    </w:p>
    <w:p w14:paraId="229E2DFA" w14:textId="5D00A294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5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Nas aquisições e contratações governamentais, deve ser dada prioridade para produtos reciclados e recicláveis e para bens, serviços e obras que considerem critérios compatíveis com padrões de consumo sustentáveis (artigo 7º, inciso XI, da </w:t>
      </w:r>
      <w:hyperlink r:id="rId6" w:history="1">
        <w:r w:rsidRPr="000832DC">
          <w:rPr>
            <w:rStyle w:val="Hyperlink"/>
            <w:i/>
            <w:iCs/>
          </w:rPr>
          <w:t>Lei nº 12.305, de 2010</w:t>
        </w:r>
      </w:hyperlink>
      <w:r>
        <w:rPr>
          <w:i/>
          <w:iCs/>
          <w:color w:val="000000"/>
        </w:rPr>
        <w:t>, – Política Nacional de Resíduos Sólidos). Deve-se observar, também, a regulamentação a ser editada a luz da nova legislação.</w:t>
      </w:r>
    </w:p>
    <w:p w14:paraId="29569249" w14:textId="77777777" w:rsidR="000F32DE" w:rsidRDefault="000F32DE" w:rsidP="000F32DE">
      <w:pPr>
        <w:pStyle w:val="Textodecomentrio"/>
      </w:pPr>
    </w:p>
    <w:p w14:paraId="7936B26A" w14:textId="07652471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6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Recomenda-se, igualmente, consulta ao Catálogo de Materiais Sustentáveis (CATMAT Sustentável), bem como consulta prévia ao site governamental </w:t>
      </w:r>
      <w:hyperlink r:id="rId7" w:history="1">
        <w:r w:rsidRPr="000832DC">
          <w:rPr>
            <w:rStyle w:val="Hyperlink"/>
            <w:i/>
            <w:iCs/>
          </w:rPr>
          <w:t>https://doacoes.gov.br</w:t>
        </w:r>
      </w:hyperlink>
      <w:r>
        <w:rPr>
          <w:i/>
          <w:iCs/>
          <w:color w:val="000000"/>
        </w:rPr>
        <w:t>/, solução desenvolvida pelo Ministério da Gestão e da Inovação em Serviços Públicos, que oferta bens móveis e serviços para a administração pública, disponibilizados pelos próprios órgãos de governo ou oferecidos por particulares de forma não onerosa, otimizando a gestão do recurso público com consumo consciente e sustentável.</w:t>
      </w:r>
    </w:p>
    <w:p w14:paraId="2BF1CBC7" w14:textId="426779AE" w:rsidR="000F32DE" w:rsidRDefault="000F32DE">
      <w:pPr>
        <w:pStyle w:val="Textodecomentrio"/>
      </w:pPr>
    </w:p>
  </w:comment>
  <w:comment w:id="2" w:author="3501602" w:date="2024-05-23T14:09:00Z" w:initials="3">
    <w:p w14:paraId="7D5E5711" w14:textId="77777777" w:rsidR="00570034" w:rsidRDefault="00570034" w:rsidP="00570034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</w:t>
      </w:r>
      <w:r>
        <w:rPr>
          <w:i/>
          <w:iCs/>
          <w:color w:val="000000"/>
        </w:rPr>
        <w:t>Marca - Excepcionalmente será permitida a indicação de uma ou mais marcas ou modelos, desde que justificada tecnicamente no processo, nas hipóteses descritas no art. 41, inciso I, alíneas a, b, c e d da Lei nº 14.133, de 2021.</w:t>
      </w:r>
    </w:p>
    <w:p w14:paraId="273F291A" w14:textId="77777777" w:rsidR="00570034" w:rsidRDefault="00570034" w:rsidP="00570034">
      <w:pPr>
        <w:pStyle w:val="Textodecomentrio"/>
      </w:pPr>
    </w:p>
    <w:p w14:paraId="3D18A316" w14:textId="77777777" w:rsidR="00570034" w:rsidRDefault="00570034" w:rsidP="00570034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2: </w:t>
      </w:r>
      <w:r>
        <w:rPr>
          <w:i/>
          <w:iCs/>
          <w:color w:val="000000"/>
          <w:u w:val="single"/>
        </w:rPr>
        <w:t>Similaridade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-</w:t>
      </w:r>
      <w:r>
        <w:rPr>
          <w:i/>
          <w:iCs/>
          <w:color w:val="000000"/>
        </w:rPr>
        <w:t xml:space="preserve"> Quando necessária a indicação de marca como referência de qualidade ou facilitação da descrição do objeto, deve esta ser seguida das expressões “ou equivalente”, “ou similar” e “ou de melhor qualidade”, devendo, nesse caso, o produto ser aceito de fato e sem restrições pela Administração. </w:t>
      </w:r>
    </w:p>
    <w:p w14:paraId="75355842" w14:textId="77777777" w:rsidR="00570034" w:rsidRDefault="00570034" w:rsidP="00570034">
      <w:pPr>
        <w:pStyle w:val="Textodecomentrio"/>
      </w:pPr>
      <w:r>
        <w:rPr>
          <w:i/>
          <w:iCs/>
          <w:color w:val="000000"/>
        </w:rPr>
        <w:t xml:space="preserve">Permite-se menção a marca de referência no aviso, como forma ou parâmetro de qualidade para facilitar a descrição do objeto, caso em que se deve necessariamente acrescentar expressões do tipo “ou equivalente”, “ou similar”, “ou de melhor qualidade”, podendo a Administração exigir que a empresa participante do certame demonstre desempenho, qualidade e produtividade compatíveis com a marca de referência mencionada.” </w:t>
      </w:r>
    </w:p>
    <w:p w14:paraId="1A87D0F1" w14:textId="77777777" w:rsidR="00570034" w:rsidRDefault="00570034" w:rsidP="00570034">
      <w:pPr>
        <w:pStyle w:val="Textodecomentrio"/>
      </w:pPr>
      <w:r>
        <w:rPr>
          <w:i/>
          <w:iCs/>
          <w:color w:val="000000"/>
        </w:rPr>
        <w:t xml:space="preserve">Deve a Administração, ainda, observar o princípio da padronização considerada a compatibilidade de especificações estéticas, técnicas ou de desempenho, nos termos do art. 43 da Lei nº 14.133, de 2021, e do art. 9º, inciso I, alínea </w:t>
      </w:r>
      <w:r>
        <w:rPr>
          <w:i/>
          <w:iCs/>
        </w:rPr>
        <w:t xml:space="preserve">b, da </w:t>
      </w:r>
      <w:hyperlink r:id="rId8" w:history="1">
        <w:r w:rsidRPr="00EC5C00">
          <w:rPr>
            <w:rStyle w:val="Hyperlink"/>
            <w:i/>
            <w:iCs/>
          </w:rPr>
          <w:t>IN Seges/ME nº 81, de 2022</w:t>
        </w:r>
      </w:hyperlink>
      <w:r>
        <w:rPr>
          <w:i/>
          <w:iCs/>
        </w:rPr>
        <w:t>. T</w:t>
      </w:r>
      <w:r>
        <w:rPr>
          <w:i/>
          <w:iCs/>
          <w:color w:val="000000"/>
        </w:rPr>
        <w:t>ambém deverá ser observada a Portaria SEGES/ME n. 938, de 2022, que institui o catálogo eletrônico de padronização de compras, serviços e obras, no âmbito da Administração Pública federal direta, autárquica e fundacional.</w:t>
      </w:r>
    </w:p>
    <w:p w14:paraId="676775DB" w14:textId="77777777" w:rsidR="00570034" w:rsidRDefault="00570034" w:rsidP="00570034">
      <w:pPr>
        <w:pStyle w:val="Textodecomentrio"/>
      </w:pPr>
    </w:p>
  </w:comment>
  <w:comment w:id="3" w:author="3501602" w:date="2024-05-24T12:27:00Z" w:initials="3">
    <w:p w14:paraId="2599F885" w14:textId="77777777" w:rsidR="007A648C" w:rsidRDefault="007A648C" w:rsidP="007A648C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É assegurado ao licitante o direito de realizar vistoria prévia no local de execução do serviço sempre que o órgão ou entidade contratante considerar essa avaliação imprescindível para o conhecimento pleno das condições e peculiaridades do objeto a ser contratado (</w:t>
      </w:r>
      <w:hyperlink r:id="rId9" w:anchor="art63§2" w:history="1">
        <w:r w:rsidRPr="00594019">
          <w:rPr>
            <w:rStyle w:val="Hyperlink"/>
            <w:i/>
            <w:iCs/>
          </w:rPr>
          <w:t>art. 63, § 2º, da Lei nº 14.133, de 2021</w:t>
        </w:r>
      </w:hyperlink>
      <w:r>
        <w:rPr>
          <w:i/>
          <w:iCs/>
          <w:color w:val="000000"/>
        </w:rPr>
        <w:t>). Ainda assim, segundo o texto legal, o contratado poderá optar por não realizar a vistoria, caso em que terá de atestar o conhecimento pleno das condições e peculiaridades da contratação, mediante declaração formal do seu responsável técnico (art. 63, §3º).</w:t>
      </w:r>
    </w:p>
    <w:p w14:paraId="1EDFC33C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>Nesse contexto, uma vez facultada a realização da vistoria prévia no Termo de Referência, os interessados terão três opções para cumprir o requisito de habilitação correspondente, conforme §§2º e 3º do art. 63, da Lei nº 14.133, de 2021, a saber:</w:t>
      </w:r>
    </w:p>
    <w:p w14:paraId="0951A220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a) realizar a vistoria e atestar que conhece o local e as condições da realização da obra ou serviço; </w:t>
      </w:r>
    </w:p>
    <w:p w14:paraId="1BC56A7D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b) atestar que conhece o local e as condições da realização da obra ou serviço; </w:t>
      </w:r>
    </w:p>
    <w:p w14:paraId="7F92EE1C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c) declarar formalmente, por meio do respectivo responsável técnico, que possui conhecimento pleno das condições e peculiaridades da contratação. </w:t>
      </w:r>
    </w:p>
    <w:p w14:paraId="42C5AAEC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A hipótese “a” dispensa maiores comentários, a não ser o de que é o próprio licitante que atesta conhecer o local e as condições, e não a Administração que tem o ônus de emitir o atestado de vistoria, como se passa no âmbito da </w:t>
      </w:r>
      <w:hyperlink r:id="rId10" w:history="1">
        <w:r w:rsidRPr="00594019">
          <w:rPr>
            <w:rStyle w:val="Hyperlink"/>
            <w:i/>
            <w:iCs/>
          </w:rPr>
          <w:t>Lei nº 8.666, de 1993</w:t>
        </w:r>
      </w:hyperlink>
      <w:r>
        <w:rPr>
          <w:i/>
          <w:iCs/>
          <w:color w:val="000000"/>
        </w:rPr>
        <w:t>.</w:t>
      </w:r>
    </w:p>
    <w:p w14:paraId="343AF83A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Já na hipótese “b”, o licitante não necessariamente realiza a vistoria facultada na licitação, mas, da mesma forma, atesta que conhece o local da obra ou serviço, além das respectivas condições de execução, pressupondo-se que já tenha comparecido anteriormente ao local para poder emitir a declaração sem incorrer em falsidade ideológica. Isso pode ocorrer sobretudo quando se trata de empresa que já prestou serviços no mesmo local ou já realizou vistoria em outra oportunidade. </w:t>
      </w:r>
    </w:p>
    <w:p w14:paraId="55519067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>Por fim, na hipótese “c”, não se declara que conhece o local, e sim as condições e peculiaridades da contratação em sua plenitude. Por isso que, em contrapartida, a declaração deve ser firmada pelo responsável técnico, que poderá chegar a esse conhecimento com base nas disposições do edital e anexos, somada à sua experiência profissional, que lhe permite emitir a declaração sem conhecer o local e sem incorrer em falsidade.</w:t>
      </w:r>
    </w:p>
    <w:p w14:paraId="351D9643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Contudo, caso não se verifique a exigência legal de que a empresa a ser contratada possua um responsável técnico - assim considerado o profissional habilitado, na forma da lei, para conduzir, orientar e se responsabilizar por todas as atividades e serviços a serem exercidos pela empresa -, a declaração formal de que trata o § 3º do art. 63, da Lei n.º 14.133, de 2021, deverá ser firmada pelo responsável legal da empresa ou por pessoa por ele indicada, que possua condições técnicas de se responsabilizar pela execução dos serviços a serem contratados. </w:t>
      </w:r>
    </w:p>
    <w:p w14:paraId="4B1A4FD2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>Recomenda-se que a previsão de vistoria seja adotada de forma motivada, já que aumenta os custos transacionais dos interessados, devendo, sempre que possível, ser substituída pela apresentação de fotografias, plantas, desenhos técnicos e congêneres relativos ao local de execução do serviço.</w:t>
      </w:r>
    </w:p>
    <w:p w14:paraId="166DAD19" w14:textId="4B751011" w:rsidR="007A648C" w:rsidRDefault="007A648C" w:rsidP="007A648C">
      <w:pPr>
        <w:pStyle w:val="Textodecomentrio"/>
      </w:pPr>
      <w:r>
        <w:rPr>
          <w:rStyle w:val="Refdecomentrio"/>
        </w:rPr>
        <w:annotationRef/>
      </w:r>
    </w:p>
  </w:comment>
  <w:comment w:id="4" w:author="3501602" w:date="2024-05-24T12:42:00Z" w:initials="3">
    <w:p w14:paraId="6B5D639C" w14:textId="78C09926" w:rsidR="00AB5ABC" w:rsidRPr="00AB5ABC" w:rsidRDefault="00AB5ABC" w:rsidP="00AB5ABC">
      <w:pPr>
        <w:pStyle w:val="PargrafodaLista"/>
        <w:spacing w:before="120" w:after="120" w:line="312" w:lineRule="auto"/>
        <w:ind w:left="0"/>
        <w:jc w:val="both"/>
        <w:rPr>
          <w:i/>
          <w:iCs/>
          <w:sz w:val="22"/>
          <w:szCs w:val="22"/>
        </w:rPr>
      </w:pPr>
      <w:r>
        <w:rPr>
          <w:rStyle w:val="Refdecomentrio"/>
        </w:rPr>
        <w:annotationRef/>
      </w:r>
      <w:r w:rsidRPr="00AB5ABC">
        <w:rPr>
          <w:b/>
          <w:bCs/>
          <w:i/>
          <w:iCs/>
          <w:sz w:val="22"/>
          <w:szCs w:val="22"/>
        </w:rPr>
        <w:t>Nota Explicativa 1</w:t>
      </w:r>
      <w:r w:rsidRPr="00AB5ABC">
        <w:rPr>
          <w:i/>
          <w:iCs/>
          <w:sz w:val="22"/>
          <w:szCs w:val="22"/>
        </w:rPr>
        <w:t>: Lista</w:t>
      </w:r>
      <w:r>
        <w:rPr>
          <w:i/>
          <w:iCs/>
          <w:sz w:val="22"/>
          <w:szCs w:val="22"/>
        </w:rPr>
        <w:t xml:space="preserve"> (com quantidade e qualidade) </w:t>
      </w:r>
      <w:r w:rsidRPr="00AB5ABC">
        <w:rPr>
          <w:i/>
          <w:iCs/>
          <w:sz w:val="22"/>
          <w:szCs w:val="22"/>
        </w:rPr>
        <w:t>de materiais, equipamentos, ferramentas e utensílios necessários</w:t>
      </w:r>
      <w:r>
        <w:rPr>
          <w:i/>
          <w:iCs/>
          <w:sz w:val="22"/>
          <w:szCs w:val="22"/>
        </w:rPr>
        <w:t xml:space="preserve"> para perfeita execução dos serviços</w:t>
      </w:r>
      <w:r w:rsidRPr="00AB5ABC">
        <w:rPr>
          <w:i/>
          <w:iCs/>
          <w:sz w:val="22"/>
          <w:szCs w:val="22"/>
        </w:rPr>
        <w:t xml:space="preserve">, nas quantidades estimadas e qualidades descritas para a perfeita execução dos serviços, a serem disponibilizadas pelo </w:t>
      </w:r>
      <w:r w:rsidRPr="00AB5ABC">
        <w:rPr>
          <w:b/>
          <w:bCs/>
          <w:i/>
          <w:iCs/>
          <w:sz w:val="22"/>
          <w:szCs w:val="22"/>
        </w:rPr>
        <w:t>CONTRATADO</w:t>
      </w:r>
      <w:r w:rsidRPr="00AB5ABC">
        <w:rPr>
          <w:i/>
          <w:iCs/>
          <w:sz w:val="22"/>
          <w:szCs w:val="22"/>
        </w:rPr>
        <w:t>, promovendo sua substituição quando necessário</w:t>
      </w:r>
      <w:r w:rsidRPr="00AB5ABC">
        <w:rPr>
          <w:i/>
          <w:iCs/>
          <w:sz w:val="22"/>
          <w:szCs w:val="22"/>
        </w:rPr>
        <w:annotationRef/>
      </w:r>
      <w:r w:rsidRPr="00AB5ABC">
        <w:rPr>
          <w:i/>
          <w:iCs/>
          <w:sz w:val="22"/>
          <w:szCs w:val="22"/>
        </w:rPr>
        <w:t>.</w:t>
      </w:r>
    </w:p>
    <w:p w14:paraId="11D7A183" w14:textId="185BD0B8" w:rsidR="00AB5ABC" w:rsidRPr="008E39D1" w:rsidRDefault="00AB5ABC" w:rsidP="00AB5ABC">
      <w:pPr>
        <w:pStyle w:val="PargrafodaLista"/>
        <w:spacing w:before="120" w:after="12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AB5ABC">
        <w:rPr>
          <w:b/>
          <w:bCs/>
          <w:i/>
          <w:iCs/>
          <w:color w:val="000000"/>
          <w:sz w:val="22"/>
          <w:szCs w:val="22"/>
        </w:rPr>
        <w:t>Nota Explicativa:</w:t>
      </w:r>
      <w:r w:rsidRPr="00AB5ABC">
        <w:rPr>
          <w:i/>
          <w:iCs/>
          <w:color w:val="000000"/>
          <w:sz w:val="22"/>
          <w:szCs w:val="22"/>
        </w:rPr>
        <w:t xml:space="preserve"> O CATMAT disponibiliza especificações técnicas de materiais com menor impacto ambiental (CATMAT Sustentável).</w:t>
      </w:r>
    </w:p>
    <w:p w14:paraId="5E702E3C" w14:textId="78C34956" w:rsidR="00AB5ABC" w:rsidRDefault="00AB5ABC">
      <w:pPr>
        <w:pStyle w:val="Textodecomentrio"/>
      </w:pPr>
    </w:p>
  </w:comment>
  <w:comment w:id="5" w:author="3501602" w:date="2024-05-24T13:27:00Z" w:initials="3">
    <w:p w14:paraId="1EC944D9" w14:textId="77777777" w:rsidR="001C613D" w:rsidRDefault="001C613D" w:rsidP="001C613D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Vale lembrar que sem o conhecimento preciso das particularidades e das necessidades do órgão, o contratado terá dificuldade para dimensionar perfeitamente sua proposta, o que poderá acarretar sérios problemas futuros na execução contratual.</w:t>
      </w:r>
    </w:p>
    <w:p w14:paraId="65B94F52" w14:textId="2A63081C" w:rsidR="001C613D" w:rsidRDefault="001C613D">
      <w:pPr>
        <w:pStyle w:val="Textodecomentrio"/>
      </w:pPr>
    </w:p>
  </w:comment>
  <w:comment w:id="6" w:author="3501602" w:date="2024-05-24T13:44:00Z" w:initials="3">
    <w:p w14:paraId="572A9FB8" w14:textId="77777777" w:rsidR="00D62A1F" w:rsidRDefault="00D62A1F" w:rsidP="00D62A1F">
      <w:pPr>
        <w:pStyle w:val="Textodecomentrio"/>
      </w:pPr>
      <w:r>
        <w:rPr>
          <w:rStyle w:val="Refdecomentrio"/>
        </w:rPr>
        <w:annotationRef/>
      </w:r>
      <w:r w:rsidRPr="16C22A4B">
        <w:rPr>
          <w:b/>
          <w:bCs/>
          <w:i/>
          <w:iCs/>
        </w:rPr>
        <w:t xml:space="preserve">Nota Explicativa: </w:t>
      </w:r>
      <w:r w:rsidRPr="16C22A4B">
        <w:rPr>
          <w:i/>
          <w:iCs/>
        </w:rPr>
        <w:t>Caso exigido, o Contratado deverá realizar a transição contratual com transferência de conhecimento, tecnologia e técnicas empregadas, sem perda de informações, podendo exigir, inclusive, a capacitação dos técnicos do contratante ou da nova empresa que continuará a execução dos serviços. Deve a Administração especificar essas exigências.</w:t>
      </w:r>
      <w:r>
        <w:annotationRef/>
      </w:r>
    </w:p>
  </w:comment>
  <w:comment w:id="7" w:author="3501602" w:date="2024-05-24T13:45:00Z" w:initials="3">
    <w:p w14:paraId="34C7764B" w14:textId="77777777" w:rsidR="00D62A1F" w:rsidRDefault="00D62A1F" w:rsidP="00D62A1F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</w:rPr>
        <w:t>Nota Explicativa</w:t>
      </w:r>
      <w:r>
        <w:rPr>
          <w:i/>
          <w:iCs/>
        </w:rPr>
        <w:t>: A opção do órgão ou entidade pela exigência de manutenção do preposto da empresa no local da execução do objeto deverá ser previamente justificada, considerando a natureza dos serviços prestados.</w:t>
      </w:r>
    </w:p>
  </w:comment>
  <w:comment w:id="8" w:author="3501602" w:date="2024-05-24T14:32:00Z" w:initials="3">
    <w:p w14:paraId="6FCAB69D" w14:textId="77777777" w:rsidR="00B92C0B" w:rsidRDefault="00B92C0B" w:rsidP="00B92C0B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O subitem 2.6, alínea “d” do Anexo V da </w:t>
      </w:r>
      <w:hyperlink r:id="rId11" w:history="1">
        <w:r w:rsidRPr="002913AF">
          <w:rPr>
            <w:rStyle w:val="Hyperlink"/>
            <w:i/>
            <w:iCs/>
          </w:rPr>
          <w:t>Instrução Normativa SEGES/MPDG nº 5, de 26 de maio de 2017</w:t>
        </w:r>
      </w:hyperlink>
      <w:r>
        <w:rPr>
          <w:i/>
          <w:iCs/>
          <w:color w:val="000000"/>
        </w:rPr>
        <w:t xml:space="preserve">, trata de critérios de medição e pagamento que podem ser considerados na formulação desse item. Diante da falta de regulamentação à luz da Lei nº 14.133, de 2021, optou-se por adotar aqui suas regras como referência de boas práticas, até que seja publicada a regulamentação atualizada sobre o tema. </w:t>
      </w:r>
    </w:p>
    <w:p w14:paraId="4ECC9D98" w14:textId="77777777" w:rsidR="00B92C0B" w:rsidRDefault="00B92C0B" w:rsidP="00B92C0B">
      <w:pPr>
        <w:pStyle w:val="Textodecomentrio"/>
      </w:pPr>
      <w:r>
        <w:rPr>
          <w:i/>
          <w:iCs/>
          <w:color w:val="000000"/>
        </w:rPr>
        <w:t xml:space="preserve">Questões a serem vistas são: </w:t>
      </w:r>
    </w:p>
    <w:p w14:paraId="1AC6B41A" w14:textId="77777777" w:rsidR="00B92C0B" w:rsidRDefault="00B92C0B" w:rsidP="00B92C0B">
      <w:pPr>
        <w:pStyle w:val="Textodecomentrio"/>
      </w:pPr>
      <w:r>
        <w:rPr>
          <w:i/>
          <w:iCs/>
          <w:color w:val="000000"/>
        </w:rPr>
        <w:t>a) unidade de medida para faturamento e mensuração do resultado;</w:t>
      </w:r>
    </w:p>
    <w:p w14:paraId="53F801CA" w14:textId="77777777" w:rsidR="00B92C0B" w:rsidRDefault="00B92C0B" w:rsidP="00B92C0B">
      <w:pPr>
        <w:pStyle w:val="Textodecomentrio"/>
      </w:pPr>
      <w:r>
        <w:rPr>
          <w:i/>
          <w:iCs/>
          <w:color w:val="000000"/>
        </w:rPr>
        <w:t>b) produtividade de referência ou critérios de qualidade para a execução contratual;</w:t>
      </w:r>
    </w:p>
    <w:p w14:paraId="6C6992FF" w14:textId="77777777" w:rsidR="00B92C0B" w:rsidRDefault="00B92C0B" w:rsidP="00B92C0B">
      <w:pPr>
        <w:pStyle w:val="Textodecomentrio"/>
      </w:pPr>
      <w:r>
        <w:rPr>
          <w:i/>
          <w:iCs/>
          <w:color w:val="000000"/>
        </w:rPr>
        <w:t>c) indicadores mínimos de desempenho para aceitação do serviço ou eventual glosa.</w:t>
      </w:r>
    </w:p>
    <w:p w14:paraId="2FBD2C49" w14:textId="29394111" w:rsidR="00B92C0B" w:rsidRDefault="00B92C0B">
      <w:pPr>
        <w:pStyle w:val="Textodecomentrio"/>
      </w:pPr>
    </w:p>
  </w:comment>
  <w:comment w:id="9" w:author="3501602" w:date="2024-05-24T13:51:00Z" w:initials="3">
    <w:p w14:paraId="35042492" w14:textId="77777777" w:rsidR="009B48A3" w:rsidRDefault="009B48A3">
      <w:pPr>
        <w:pStyle w:val="Textodecomentrio"/>
        <w:rPr>
          <w:i/>
          <w:iCs/>
          <w:color w:val="000000"/>
        </w:rPr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 </w:t>
      </w:r>
      <w:r>
        <w:rPr>
          <w:i/>
          <w:iCs/>
          <w:color w:val="000000"/>
        </w:rPr>
        <w:t>R</w:t>
      </w:r>
      <w:r w:rsidRPr="001B77D2">
        <w:rPr>
          <w:i/>
          <w:iCs/>
          <w:color w:val="000000"/>
        </w:rPr>
        <w:t>ecomenda-se que o prazo seja dimensionado para que corresponda ao período razoável à checagem necessária, sem que traga um ônus excessivo que venha a afastar potenciais interessados</w:t>
      </w:r>
      <w:r>
        <w:rPr>
          <w:i/>
          <w:iCs/>
          <w:color w:val="000000"/>
        </w:rPr>
        <w:t>.</w:t>
      </w:r>
    </w:p>
    <w:p w14:paraId="7FA60EBB" w14:textId="685AB3B9" w:rsidR="009B48A3" w:rsidRDefault="009B48A3">
      <w:pPr>
        <w:pStyle w:val="Textodecomentrio"/>
      </w:pPr>
      <w:r>
        <w:rPr>
          <w:b/>
          <w:bCs/>
          <w:i/>
          <w:iCs/>
          <w:color w:val="000000"/>
        </w:rPr>
        <w:t>Nota Explicativa 2:</w:t>
      </w:r>
      <w:r>
        <w:rPr>
          <w:i/>
          <w:iCs/>
          <w:color w:val="000000"/>
        </w:rPr>
        <w:t xml:space="preserve"> Caso não seja apontada, será preenchida por discricionariedade da Seção de </w:t>
      </w:r>
      <w:r w:rsidR="00D04673">
        <w:rPr>
          <w:i/>
          <w:iCs/>
          <w:color w:val="000000"/>
        </w:rPr>
        <w:t>C</w:t>
      </w:r>
      <w:r>
        <w:rPr>
          <w:i/>
          <w:iCs/>
          <w:color w:val="000000"/>
        </w:rPr>
        <w:t>ompras.</w:t>
      </w:r>
    </w:p>
  </w:comment>
  <w:comment w:id="10" w:author="3501602" w:date="2024-05-23T16:55:00Z" w:initials="3">
    <w:p w14:paraId="5B80CD0C" w14:textId="77777777" w:rsidR="00112DE3" w:rsidRDefault="00112DE3">
      <w:pPr>
        <w:pStyle w:val="Textodecomentrio"/>
        <w:rPr>
          <w:i/>
          <w:iCs/>
          <w:color w:val="000000"/>
        </w:rPr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 </w:t>
      </w:r>
      <w:r>
        <w:rPr>
          <w:i/>
          <w:iCs/>
          <w:color w:val="000000"/>
        </w:rPr>
        <w:t>R</w:t>
      </w:r>
      <w:r w:rsidRPr="001B77D2">
        <w:rPr>
          <w:i/>
          <w:iCs/>
          <w:color w:val="000000"/>
        </w:rPr>
        <w:t>ecomenda-se que o prazo seja dimensionado para que corresponda ao período razoável à checagem necessária, sem que traga um ônus excessivo que venha a afastar potenciais interessados</w:t>
      </w:r>
      <w:r>
        <w:rPr>
          <w:i/>
          <w:iCs/>
          <w:color w:val="000000"/>
        </w:rPr>
        <w:t>.</w:t>
      </w:r>
    </w:p>
    <w:p w14:paraId="25C62E15" w14:textId="718B4990" w:rsidR="009B48A3" w:rsidRDefault="009B48A3">
      <w:pPr>
        <w:pStyle w:val="Textodecomentrio"/>
      </w:pPr>
      <w:r>
        <w:rPr>
          <w:b/>
          <w:bCs/>
          <w:i/>
          <w:iCs/>
          <w:color w:val="000000"/>
        </w:rPr>
        <w:t>Nota Explicativa 2:</w:t>
      </w:r>
      <w:r>
        <w:rPr>
          <w:i/>
          <w:iCs/>
          <w:color w:val="000000"/>
        </w:rPr>
        <w:t xml:space="preserve"> Caso não seja apontada, será preenchida por discricionariedade da Seção de </w:t>
      </w:r>
      <w:r w:rsidR="00D04673">
        <w:rPr>
          <w:i/>
          <w:iCs/>
          <w:color w:val="000000"/>
        </w:rPr>
        <w:t>C</w:t>
      </w:r>
      <w:r>
        <w:rPr>
          <w:i/>
          <w:iCs/>
          <w:color w:val="000000"/>
        </w:rPr>
        <w:t>ompras.</w:t>
      </w:r>
    </w:p>
  </w:comment>
  <w:comment w:id="11" w:author="3501602" w:date="2024-05-24T14:38:00Z" w:initials="3">
    <w:p w14:paraId="467BBC56" w14:textId="3C7844A2" w:rsidR="006B1A81" w:rsidRDefault="006B1A81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Este subitem tem como fundamento a parte final do disposto no </w:t>
      </w:r>
      <w:hyperlink r:id="rId12" w:anchor="art66" w:history="1">
        <w:r w:rsidRPr="00D46A68">
          <w:rPr>
            <w:rStyle w:val="Hyperlink"/>
            <w:i/>
            <w:iCs/>
          </w:rPr>
          <w:t>art. 66 da Lei nº 14.133, de 2021</w:t>
        </w:r>
      </w:hyperlink>
      <w:r>
        <w:rPr>
          <w:i/>
          <w:iCs/>
          <w:color w:val="000000"/>
        </w:rPr>
        <w:t>. Cabe ao órgão ou entidade analisar se a atividade relativa ao objeto a ser contratado exige registro ou autorização para funcionamento, em razão de previsão legal ou normativa. Em caso positivo, deverão ser especificados o documento a ser apresentado, o órgão competente para expedi-lo e o respectivo fundamento legal. Cite-se, como exemplo, a necessidade de registro de pessoas físicas ou jurídicas no Exército, com vistas ao exercício de qualquer atividade relativa a Produto Controlado pelo Exército (PCE), tais como a fabricação, o comércio, a importação, a exportação, a utilização e a prestação de serviços envolvendo arma de fogo, explosivo, munição, dentre outros.</w:t>
      </w:r>
    </w:p>
  </w:comment>
  <w:comment w:id="12" w:author="3501602" w:date="2024-05-24T14:39:00Z" w:initials="3">
    <w:p w14:paraId="147B50DE" w14:textId="77777777" w:rsidR="006B1A81" w:rsidRDefault="006B1A81" w:rsidP="006B1A81">
      <w:pPr>
        <w:pStyle w:val="Textodecomentrio"/>
        <w:rPr>
          <w:i/>
          <w:iCs/>
          <w:color w:val="000000"/>
        </w:rPr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</w:t>
      </w:r>
      <w:r w:rsidRPr="00AE5156">
        <w:rPr>
          <w:i/>
          <w:iCs/>
          <w:color w:val="000000"/>
        </w:rPr>
        <w:t xml:space="preserve">O prazo estabelecido </w:t>
      </w:r>
      <w:r>
        <w:rPr>
          <w:i/>
          <w:iCs/>
          <w:color w:val="000000"/>
        </w:rPr>
        <w:t xml:space="preserve">neste subitem </w:t>
      </w:r>
      <w:r w:rsidRPr="00AE5156">
        <w:rPr>
          <w:i/>
          <w:iCs/>
          <w:color w:val="000000"/>
        </w:rPr>
        <w:t>deve observar o limite previsto no § 5º do artigo 67 da Lei 14.133/2021. Para serviços contínuos, o edital pode requerer certidão ou atestado que comprove a execução, pelo licitante, de serviços semelhantes ao objeto da licitação, de forma contínua ou não</w:t>
      </w:r>
      <w:r w:rsidRPr="00AE5156">
        <w:rPr>
          <w:b/>
          <w:bCs/>
          <w:i/>
          <w:iCs/>
          <w:color w:val="000000"/>
        </w:rPr>
        <w:t>, por um período mínimo de até 3 (três) anos</w:t>
      </w:r>
      <w:r w:rsidRPr="00AE5156">
        <w:rPr>
          <w:i/>
          <w:iCs/>
          <w:color w:val="000000"/>
        </w:rPr>
        <w:t>.</w:t>
      </w:r>
    </w:p>
    <w:p w14:paraId="7B79138F" w14:textId="59DA0C78" w:rsidR="006B1A81" w:rsidRDefault="006B1A81" w:rsidP="006B1A81">
      <w:pPr>
        <w:pStyle w:val="Textodecomentrio"/>
      </w:pPr>
      <w:r>
        <w:rPr>
          <w:i/>
          <w:iCs/>
          <w:color w:val="000000"/>
        </w:rPr>
        <w:t>A</w:t>
      </w:r>
      <w:r w:rsidRPr="00AE5156">
        <w:rPr>
          <w:i/>
          <w:iCs/>
          <w:color w:val="000000"/>
        </w:rPr>
        <w:t>rtigo 67</w:t>
      </w:r>
      <w:r>
        <w:rPr>
          <w:i/>
          <w:iCs/>
          <w:color w:val="000000"/>
        </w:rPr>
        <w:t xml:space="preserve">, </w:t>
      </w:r>
      <w:r w:rsidRPr="00AE5156">
        <w:rPr>
          <w:i/>
          <w:iCs/>
          <w:color w:val="000000"/>
        </w:rPr>
        <w:t>§ 5º</w:t>
      </w:r>
      <w:r>
        <w:rPr>
          <w:i/>
          <w:iCs/>
          <w:color w:val="000000"/>
        </w:rPr>
        <w:t xml:space="preserve"> </w:t>
      </w:r>
      <w:r w:rsidRPr="00AE5156">
        <w:rPr>
          <w:i/>
          <w:iCs/>
          <w:color w:val="000000"/>
        </w:rPr>
        <w:t xml:space="preserve"> da Lei 14.133/2021 – “ Em se tratando de serviços contínuos, o edital poderá exigir certidão ou atestado que demonstre que o licitante tenha executado serviços similares ao objeto da licitação, em períodos sucessivos ou não, </w:t>
      </w:r>
      <w:r w:rsidRPr="00AE5156">
        <w:rPr>
          <w:b/>
          <w:bCs/>
          <w:i/>
          <w:iCs/>
          <w:color w:val="000000"/>
        </w:rPr>
        <w:t>por um prazo mínimo, que não poderá ser superior a 3 (três) anos”.</w:t>
      </w:r>
    </w:p>
  </w:comment>
  <w:comment w:id="13" w:author="3501602" w:date="2024-05-24T14:42:00Z" w:initials="3">
    <w:p w14:paraId="2D89C849" w14:textId="77777777" w:rsidR="00C65573" w:rsidRDefault="00C65573" w:rsidP="00C65573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</w:rPr>
        <w:t xml:space="preserve">Nota Explicativa: </w:t>
      </w:r>
      <w:r>
        <w:rPr>
          <w:i/>
          <w:iCs/>
        </w:rPr>
        <w:t xml:space="preserve">Conforme Acórdão nº 1176/2021-Plenário do Tribunal de Contas da União, “É irregular a exigência de que o contratado instale escritório em localidade específica, sem a devida demonstração de que tal medida seja imprescindível à adequada execução do objeto licitado, considerando os custos a serem suportados pelo contratado, sem avaliar a sua pertinência frente à materialidade da </w:t>
      </w:r>
    </w:p>
    <w:p w14:paraId="185E5E29" w14:textId="19D5768F" w:rsidR="00C65573" w:rsidRDefault="00C65573" w:rsidP="00C65573">
      <w:pPr>
        <w:pStyle w:val="Textodecomentrio"/>
      </w:pPr>
      <w:r>
        <w:rPr>
          <w:i/>
          <w:iCs/>
        </w:rPr>
        <w:t>contratação e aos impactos no orçamento estimativo e na competitividade do certame, devido ao potencial de restringir o caráter competitivo da licitação, afetar a economicidade do contrato e ferir o princípio da isonomia.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463017" w15:done="0"/>
  <w15:commentEx w15:paraId="2BF1CBC7" w15:done="0"/>
  <w15:commentEx w15:paraId="676775DB" w15:done="0"/>
  <w15:commentEx w15:paraId="166DAD19" w15:done="0"/>
  <w15:commentEx w15:paraId="5E702E3C" w15:done="0"/>
  <w15:commentEx w15:paraId="65B94F52" w15:done="0"/>
  <w15:commentEx w15:paraId="572A9FB8" w15:done="0"/>
  <w15:commentEx w15:paraId="34C7764B" w15:done="0"/>
  <w15:commentEx w15:paraId="2FBD2C49" w15:done="0"/>
  <w15:commentEx w15:paraId="7FA60EBB" w15:done="0"/>
  <w15:commentEx w15:paraId="25C62E15" w15:done="0"/>
  <w15:commentEx w15:paraId="467BBC56" w15:done="0"/>
  <w15:commentEx w15:paraId="7B79138F" w15:done="0"/>
  <w15:commentEx w15:paraId="185E5E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F2C4" w16cex:dateUtc="2024-05-23T19:52:00Z"/>
  <w16cex:commentExtensible w16cex:durableId="29F9E715" w16cex:dateUtc="2024-05-23T19:02:00Z"/>
  <w16cex:commentExtensible w16cex:durableId="29F9CC8B" w16cex:dateUtc="2024-05-23T17:09:00Z"/>
  <w16cex:commentExtensible w16cex:durableId="29FB061D" w16cex:dateUtc="2024-05-24T15:27:00Z"/>
  <w16cex:commentExtensible w16cex:durableId="29FB09A5" w16cex:dateUtc="2024-05-24T15:42:00Z"/>
  <w16cex:commentExtensible w16cex:durableId="29FB1438" w16cex:dateUtc="2024-05-24T16:27:00Z"/>
  <w16cex:commentExtensible w16cex:durableId="29FB1859" w16cex:dateUtc="2024-05-24T16:44:00Z"/>
  <w16cex:commentExtensible w16cex:durableId="29FB1877" w16cex:dateUtc="2024-05-24T16:45:00Z"/>
  <w16cex:commentExtensible w16cex:durableId="29FB2398" w16cex:dateUtc="2024-05-24T17:32:00Z"/>
  <w16cex:commentExtensible w16cex:durableId="29FB19EE" w16cex:dateUtc="2024-05-24T16:51:00Z"/>
  <w16cex:commentExtensible w16cex:durableId="29F9F39F" w16cex:dateUtc="2024-05-23T19:55:00Z"/>
  <w16cex:commentExtensible w16cex:durableId="29FB24E6" w16cex:dateUtc="2024-05-24T17:38:00Z"/>
  <w16cex:commentExtensible w16cex:durableId="29FB252B" w16cex:dateUtc="2024-05-24T17:39:00Z"/>
  <w16cex:commentExtensible w16cex:durableId="29FB25D5" w16cex:dateUtc="2024-05-24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463017" w16cid:durableId="29F9F2C4"/>
  <w16cid:commentId w16cid:paraId="2BF1CBC7" w16cid:durableId="29F9E715"/>
  <w16cid:commentId w16cid:paraId="676775DB" w16cid:durableId="29F9CC8B"/>
  <w16cid:commentId w16cid:paraId="166DAD19" w16cid:durableId="29FB061D"/>
  <w16cid:commentId w16cid:paraId="5E702E3C" w16cid:durableId="29FB09A5"/>
  <w16cid:commentId w16cid:paraId="65B94F52" w16cid:durableId="29FB1438"/>
  <w16cid:commentId w16cid:paraId="572A9FB8" w16cid:durableId="29FB1859"/>
  <w16cid:commentId w16cid:paraId="34C7764B" w16cid:durableId="29FB1877"/>
  <w16cid:commentId w16cid:paraId="2FBD2C49" w16cid:durableId="29FB2398"/>
  <w16cid:commentId w16cid:paraId="7FA60EBB" w16cid:durableId="29FB19EE"/>
  <w16cid:commentId w16cid:paraId="25C62E15" w16cid:durableId="29F9F39F"/>
  <w16cid:commentId w16cid:paraId="467BBC56" w16cid:durableId="29FB24E6"/>
  <w16cid:commentId w16cid:paraId="7B79138F" w16cid:durableId="29FB252B"/>
  <w16cid:commentId w16cid:paraId="185E5E29" w16cid:durableId="29FB25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FB14" w14:textId="77777777" w:rsidR="00DA4B3D" w:rsidRDefault="00DA4B3D" w:rsidP="001E2B30">
      <w:pPr>
        <w:spacing w:after="0" w:line="240" w:lineRule="auto"/>
      </w:pPr>
      <w:r>
        <w:separator/>
      </w:r>
    </w:p>
  </w:endnote>
  <w:endnote w:type="continuationSeparator" w:id="0">
    <w:p w14:paraId="1D1746DE" w14:textId="77777777" w:rsidR="00DA4B3D" w:rsidRDefault="00DA4B3D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ACA1025" w14:textId="77777777" w:rsidR="001C613D" w:rsidRPr="00E1649B" w:rsidRDefault="00DA4B3D" w:rsidP="001C613D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1C613D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64DA5BB7" w14:textId="77777777" w:rsidR="001C613D" w:rsidRPr="00E1649B" w:rsidRDefault="001C613D" w:rsidP="001C613D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017F" w14:textId="77777777" w:rsidR="00DA4B3D" w:rsidRDefault="00DA4B3D" w:rsidP="001E2B30">
      <w:pPr>
        <w:spacing w:after="0" w:line="240" w:lineRule="auto"/>
      </w:pPr>
      <w:r>
        <w:separator/>
      </w:r>
    </w:p>
  </w:footnote>
  <w:footnote w:type="continuationSeparator" w:id="0">
    <w:p w14:paraId="59929462" w14:textId="77777777" w:rsidR="00DA4B3D" w:rsidRDefault="00DA4B3D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261" w14:textId="4DAD3243" w:rsidR="001C613D" w:rsidRDefault="001C613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5DDD9206">
          <wp:simplePos x="0" y="0"/>
          <wp:positionH relativeFrom="page">
            <wp:posOffset>-12065</wp:posOffset>
          </wp:positionH>
          <wp:positionV relativeFrom="paragraph">
            <wp:posOffset>-444500</wp:posOffset>
          </wp:positionV>
          <wp:extent cx="7543165" cy="100107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83"/>
                  <a:stretch/>
                </pic:blipFill>
                <pic:spPr bwMode="auto">
                  <a:xfrm>
                    <a:off x="0" y="0"/>
                    <a:ext cx="7543165" cy="10010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000B5449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" w15:restartNumberingAfterBreak="0">
    <w:nsid w:val="61930233"/>
    <w:multiLevelType w:val="multilevel"/>
    <w:tmpl w:val="F0D4B8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3501602">
    <w15:presenceInfo w15:providerId="None" w15:userId="3501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iIU631hXumXlWxxfMY942TZfRprtdetrr/r1gSPofvWQI9wF2s1hkJAwHhOfJuhCEOVPO0keSV5OTdmZ79ctzw==" w:salt="9BrkHV1qzkPImw/iuacs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F32DE"/>
    <w:rsid w:val="00112DE3"/>
    <w:rsid w:val="0013734D"/>
    <w:rsid w:val="00191F7E"/>
    <w:rsid w:val="001A5ADE"/>
    <w:rsid w:val="001B77D2"/>
    <w:rsid w:val="001C613D"/>
    <w:rsid w:val="001E2B30"/>
    <w:rsid w:val="002263CE"/>
    <w:rsid w:val="00282275"/>
    <w:rsid w:val="002A0016"/>
    <w:rsid w:val="00497310"/>
    <w:rsid w:val="004B4B63"/>
    <w:rsid w:val="005651A1"/>
    <w:rsid w:val="00570034"/>
    <w:rsid w:val="006A24ED"/>
    <w:rsid w:val="006B1A81"/>
    <w:rsid w:val="00740E5D"/>
    <w:rsid w:val="007A648C"/>
    <w:rsid w:val="007E12F4"/>
    <w:rsid w:val="008175C3"/>
    <w:rsid w:val="00834E76"/>
    <w:rsid w:val="00850EA9"/>
    <w:rsid w:val="00884E84"/>
    <w:rsid w:val="009004CC"/>
    <w:rsid w:val="00902FC4"/>
    <w:rsid w:val="00907375"/>
    <w:rsid w:val="00935F0E"/>
    <w:rsid w:val="0097679E"/>
    <w:rsid w:val="009A2C2E"/>
    <w:rsid w:val="009B48A3"/>
    <w:rsid w:val="00A01386"/>
    <w:rsid w:val="00AB5ABC"/>
    <w:rsid w:val="00B119E7"/>
    <w:rsid w:val="00B92C0B"/>
    <w:rsid w:val="00C039CD"/>
    <w:rsid w:val="00C148D1"/>
    <w:rsid w:val="00C179E0"/>
    <w:rsid w:val="00C63707"/>
    <w:rsid w:val="00C65573"/>
    <w:rsid w:val="00CA3FC6"/>
    <w:rsid w:val="00CD29AD"/>
    <w:rsid w:val="00D04673"/>
    <w:rsid w:val="00D62A1F"/>
    <w:rsid w:val="00DA4B3D"/>
    <w:rsid w:val="00DC7EFD"/>
    <w:rsid w:val="00E02627"/>
    <w:rsid w:val="00E15565"/>
    <w:rsid w:val="00EA4EA9"/>
    <w:rsid w:val="00F60239"/>
    <w:rsid w:val="00FE75E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 w:qFormat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customStyle="1" w:styleId="PargrafodaListaChar">
    <w:name w:val="Parágrafo da Lista Char"/>
    <w:basedOn w:val="Fontepargpadro"/>
    <w:link w:val="PargrafodaLista"/>
    <w:rsid w:val="00AB5A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3" Type="http://schemas.openxmlformats.org/officeDocument/2006/relationships/hyperlink" Target="https://www.gov.br/agu/pt-br/composicao/cgu/cgu/guias/gncs_082022.pdf" TargetMode="External"/><Relationship Id="rId7" Type="http://schemas.openxmlformats.org/officeDocument/2006/relationships/hyperlink" Target="https://doacoes.gov.br/" TargetMode="External"/><Relationship Id="rId12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hyperlink" Target="https://sapiens.agu.gov.br/valida_publico?id=627431320" TargetMode="External"/><Relationship Id="rId1" Type="http://schemas.openxmlformats.org/officeDocument/2006/relationships/hyperlink" Target="https://www.gov.br/compras/pt-br/acesso-a-informacao/legislacao/portarias/portaria-seges-me-no-8-678-de-19-de-julho-de-2021" TargetMode="External"/><Relationship Id="rId6" Type="http://schemas.openxmlformats.org/officeDocument/2006/relationships/hyperlink" Target="https://www.planalto.gov.br/ccivil_03/_ato2007-2010/2010/lei/l12305.htm" TargetMode="External"/><Relationship Id="rId11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5" Type="http://schemas.openxmlformats.org/officeDocument/2006/relationships/hyperlink" Target="https://www.in.gov.br/en/web/dou/-/instrucao-normativa-seges-n-58-de-8-de-agosto-de-2022-421221597%23" TargetMode="External"/><Relationship Id="rId10" Type="http://schemas.openxmlformats.org/officeDocument/2006/relationships/hyperlink" Target="http://www.planalto.gov.br/ccivil_03/leis/l8666cons.htm" TargetMode="External"/><Relationship Id="rId4" Type="http://schemas.openxmlformats.org/officeDocument/2006/relationships/hyperlink" Target="https://www.gov.br/agu/pt-br/composicao/cgu/cgu/guias/gncs_082022.pdf" TargetMode="External"/><Relationship Id="rId9" Type="http://schemas.openxmlformats.org/officeDocument/2006/relationships/hyperlink" Target="http://www.planalto.gov.br/ccivil_03/_ato2019-2022/2021/lei/L14133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2</cp:revision>
  <dcterms:created xsi:type="dcterms:W3CDTF">2024-05-24T17:49:00Z</dcterms:created>
  <dcterms:modified xsi:type="dcterms:W3CDTF">2024-05-24T17:49:00Z</dcterms:modified>
</cp:coreProperties>
</file>